
<file path=[Content_Types].xml><?xml version="1.0" encoding="utf-8"?>
<Types xmlns="http://schemas.openxmlformats.org/package/2006/content-types">
  <Default Extension="emf" ContentType="image/x-emf"/>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2" w14:textId="77777777" w:rsidR="003A1FEB" w:rsidRPr="008840D2" w:rsidRDefault="002844AC">
      <w:pPr>
        <w:pBdr>
          <w:top w:val="nil"/>
          <w:left w:val="nil"/>
          <w:bottom w:val="nil"/>
          <w:right w:val="nil"/>
          <w:between w:val="nil"/>
        </w:pBdr>
        <w:jc w:val="center"/>
        <w:rPr>
          <w:color w:val="000000"/>
          <w:sz w:val="20"/>
          <w:szCs w:val="20"/>
          <w:lang w:val="en-US"/>
        </w:rPr>
      </w:pPr>
      <w:r>
        <w:rPr>
          <w:noProof/>
          <w:color w:val="000000"/>
          <w:sz w:val="20"/>
          <w:szCs w:val="20"/>
          <w:lang w:val="en-US"/>
        </w:rPr>
        <w:drawing>
          <wp:inline distT="0" distB="0" distL="0" distR="0" wp14:anchorId="171027CB" wp14:editId="61D347E6">
            <wp:extent cx="1786709" cy="1207007"/>
            <wp:effectExtent l="0" t="0" r="0" b="0"/>
            <wp:docPr id="2116791639" name="image3.jpg" descr="Nazarbayev University"/>
            <wp:cNvGraphicFramePr/>
            <a:graphic xmlns:a="http://schemas.openxmlformats.org/drawingml/2006/main">
              <a:graphicData uri="http://schemas.openxmlformats.org/drawingml/2006/picture">
                <pic:pic xmlns:pic="http://schemas.openxmlformats.org/drawingml/2006/picture">
                  <pic:nvPicPr>
                    <pic:cNvPr id="0" name="image3.jpg" descr="Nazarbayev University"/>
                    <pic:cNvPicPr preferRelativeResize="0"/>
                  </pic:nvPicPr>
                  <pic:blipFill>
                    <a:blip r:embed="rId9"/>
                    <a:srcRect/>
                    <a:stretch>
                      <a:fillRect/>
                    </a:stretch>
                  </pic:blipFill>
                  <pic:spPr>
                    <a:xfrm>
                      <a:off x="0" y="0"/>
                      <a:ext cx="1786709" cy="1207007"/>
                    </a:xfrm>
                    <a:prstGeom prst="rect">
                      <a:avLst/>
                    </a:prstGeom>
                    <a:ln/>
                  </pic:spPr>
                </pic:pic>
              </a:graphicData>
            </a:graphic>
          </wp:inline>
        </w:drawing>
      </w:r>
    </w:p>
    <w:p w14:paraId="00000003" w14:textId="77777777" w:rsidR="003A1FEB" w:rsidRPr="008840D2" w:rsidRDefault="003A1FEB">
      <w:pPr>
        <w:pBdr>
          <w:top w:val="nil"/>
          <w:left w:val="nil"/>
          <w:bottom w:val="nil"/>
          <w:right w:val="nil"/>
          <w:between w:val="nil"/>
        </w:pBdr>
        <w:jc w:val="center"/>
        <w:rPr>
          <w:color w:val="000000"/>
          <w:sz w:val="32"/>
          <w:szCs w:val="32"/>
          <w:lang w:val="en-US"/>
        </w:rPr>
      </w:pPr>
    </w:p>
    <w:p w14:paraId="00000004" w14:textId="77777777" w:rsidR="003A1FEB" w:rsidRPr="008840D2" w:rsidRDefault="003A1FEB">
      <w:pPr>
        <w:pBdr>
          <w:top w:val="nil"/>
          <w:left w:val="nil"/>
          <w:bottom w:val="nil"/>
          <w:right w:val="nil"/>
          <w:between w:val="nil"/>
        </w:pBdr>
        <w:jc w:val="center"/>
        <w:rPr>
          <w:color w:val="000000"/>
          <w:sz w:val="32"/>
          <w:szCs w:val="32"/>
          <w:lang w:val="en-US"/>
        </w:rPr>
      </w:pPr>
    </w:p>
    <w:p w14:paraId="00000005" w14:textId="77777777" w:rsidR="003A1FEB" w:rsidRPr="008840D2" w:rsidRDefault="002844AC">
      <w:pPr>
        <w:pStyle w:val="Title"/>
        <w:ind w:right="0"/>
        <w:rPr>
          <w:lang w:val="en-US"/>
        </w:rPr>
      </w:pPr>
      <w:bookmarkStart w:id="0" w:name="_heading=h.m6o6n6dr1din" w:colFirst="0" w:colLast="0"/>
      <w:bookmarkEnd w:id="0"/>
      <w:r>
        <w:rPr>
          <w:lang w:val="en-US"/>
        </w:rPr>
        <w:t>COMPUTATIONAL ANALYSIS AND CLASSIFICATION OF VITAMIN D RECEPTOR LIGANDS</w:t>
      </w:r>
    </w:p>
    <w:p w14:paraId="00000006" w14:textId="77777777" w:rsidR="003A1FEB" w:rsidRPr="008840D2" w:rsidRDefault="003A1FEB">
      <w:pPr>
        <w:pBdr>
          <w:top w:val="nil"/>
          <w:left w:val="nil"/>
          <w:bottom w:val="nil"/>
          <w:right w:val="nil"/>
          <w:between w:val="nil"/>
        </w:pBdr>
        <w:jc w:val="center"/>
        <w:rPr>
          <w:b/>
          <w:bCs/>
          <w:color w:val="000000"/>
          <w:sz w:val="32"/>
          <w:szCs w:val="32"/>
          <w:lang w:val="en-US"/>
        </w:rPr>
      </w:pPr>
    </w:p>
    <w:p w14:paraId="00000007" w14:textId="77777777" w:rsidR="003A1FEB" w:rsidRPr="008840D2" w:rsidRDefault="002844AC">
      <w:pPr>
        <w:jc w:val="center"/>
        <w:rPr>
          <w:sz w:val="32"/>
          <w:szCs w:val="32"/>
          <w:lang w:val="en-US"/>
        </w:rPr>
      </w:pPr>
      <w:r>
        <w:rPr>
          <w:sz w:val="32"/>
          <w:szCs w:val="32"/>
          <w:lang w:val="en-US"/>
        </w:rPr>
        <w:t>SEIDALIYEVA ADELIYA</w:t>
      </w:r>
    </w:p>
    <w:p w14:paraId="00000008" w14:textId="77777777" w:rsidR="003A1FEB" w:rsidRPr="008840D2" w:rsidRDefault="003A1FEB">
      <w:pPr>
        <w:pBdr>
          <w:top w:val="nil"/>
          <w:left w:val="nil"/>
          <w:bottom w:val="nil"/>
          <w:right w:val="nil"/>
          <w:between w:val="nil"/>
        </w:pBdr>
        <w:jc w:val="center"/>
        <w:rPr>
          <w:color w:val="000000"/>
          <w:szCs w:val="24"/>
          <w:lang w:val="en-US"/>
        </w:rPr>
      </w:pPr>
    </w:p>
    <w:p w14:paraId="00000009" w14:textId="77777777" w:rsidR="003A1FEB" w:rsidRPr="008840D2" w:rsidRDefault="003A1FEB">
      <w:pPr>
        <w:pBdr>
          <w:top w:val="nil"/>
          <w:left w:val="nil"/>
          <w:bottom w:val="nil"/>
          <w:right w:val="nil"/>
          <w:between w:val="nil"/>
        </w:pBdr>
        <w:jc w:val="center"/>
        <w:rPr>
          <w:color w:val="000000"/>
          <w:szCs w:val="24"/>
          <w:lang w:val="en-US"/>
        </w:rPr>
      </w:pPr>
    </w:p>
    <w:p w14:paraId="0000000A" w14:textId="77777777" w:rsidR="003A1FEB" w:rsidRPr="008840D2" w:rsidRDefault="002844AC">
      <w:pPr>
        <w:pBdr>
          <w:top w:val="nil"/>
          <w:left w:val="nil"/>
          <w:bottom w:val="nil"/>
          <w:right w:val="nil"/>
          <w:between w:val="nil"/>
        </w:pBdr>
        <w:jc w:val="center"/>
        <w:rPr>
          <w:color w:val="000000"/>
          <w:szCs w:val="24"/>
          <w:lang w:val="en-US"/>
        </w:rPr>
      </w:pPr>
      <w:r>
        <w:rPr>
          <w:color w:val="000000"/>
          <w:szCs w:val="24"/>
          <w:lang w:val="en-US"/>
        </w:rPr>
        <w:t>A THESIS SUBMITTED</w:t>
      </w:r>
    </w:p>
    <w:p w14:paraId="00000017" w14:textId="268137DE" w:rsidR="003A1FEB" w:rsidRPr="008840D2" w:rsidRDefault="002844AC" w:rsidP="0071186E">
      <w:pPr>
        <w:pBdr>
          <w:top w:val="nil"/>
          <w:left w:val="nil"/>
          <w:bottom w:val="nil"/>
          <w:right w:val="nil"/>
          <w:between w:val="nil"/>
        </w:pBdr>
        <w:jc w:val="center"/>
        <w:rPr>
          <w:color w:val="000000"/>
          <w:szCs w:val="24"/>
          <w:lang w:val="en-US"/>
        </w:rPr>
      </w:pPr>
      <w:r>
        <w:rPr>
          <w:color w:val="000000"/>
          <w:szCs w:val="24"/>
          <w:lang w:val="en-US"/>
        </w:rPr>
        <w:t>FOR THE DEGREE OF MASTER OF LIFE SCIENCES, DEPARTMENT OF BIOLOGY, SCHOOL OF SCIENCES AND HUMANITIES, NAZARBAYEV UNIVERSITY</w:t>
      </w:r>
    </w:p>
    <w:p w14:paraId="00000018" w14:textId="77777777" w:rsidR="003A1FEB" w:rsidRPr="00666416" w:rsidRDefault="003A1FEB">
      <w:pPr>
        <w:pBdr>
          <w:top w:val="nil"/>
          <w:left w:val="nil"/>
          <w:bottom w:val="nil"/>
          <w:right w:val="nil"/>
          <w:between w:val="nil"/>
        </w:pBdr>
        <w:jc w:val="center"/>
        <w:rPr>
          <w:color w:val="000000"/>
          <w:szCs w:val="24"/>
          <w:lang w:val="en-US"/>
        </w:rPr>
      </w:pPr>
    </w:p>
    <w:p w14:paraId="5A624D79" w14:textId="77777777" w:rsidR="008E37DD" w:rsidRPr="00666416" w:rsidRDefault="008E37DD">
      <w:pPr>
        <w:pBdr>
          <w:top w:val="nil"/>
          <w:left w:val="nil"/>
          <w:bottom w:val="nil"/>
          <w:right w:val="nil"/>
          <w:between w:val="nil"/>
        </w:pBdr>
        <w:jc w:val="center"/>
        <w:rPr>
          <w:color w:val="000000"/>
          <w:szCs w:val="24"/>
          <w:lang w:val="en-US"/>
        </w:rPr>
      </w:pPr>
    </w:p>
    <w:p w14:paraId="1BA3351D" w14:textId="77777777" w:rsidR="003A1FEB" w:rsidRPr="008840D2" w:rsidRDefault="002844AC">
      <w:pPr>
        <w:pBdr>
          <w:top w:val="nil"/>
          <w:left w:val="nil"/>
          <w:bottom w:val="nil"/>
          <w:right w:val="nil"/>
          <w:between w:val="nil"/>
        </w:pBdr>
        <w:jc w:val="center"/>
        <w:rPr>
          <w:color w:val="000000"/>
          <w:szCs w:val="24"/>
          <w:lang w:val="en-US"/>
        </w:rPr>
      </w:pPr>
      <w:bookmarkStart w:id="1" w:name="_heading=h.vbh0uncro89y" w:colFirst="0" w:colLast="0"/>
      <w:bookmarkEnd w:id="1"/>
      <w:r>
        <w:rPr>
          <w:color w:val="000000"/>
          <w:szCs w:val="24"/>
          <w:lang w:val="en-US"/>
        </w:rPr>
        <w:t>2026</w:t>
      </w:r>
    </w:p>
    <w:p w14:paraId="787B7A98" w14:textId="77777777" w:rsidR="0071186E" w:rsidRPr="008840D2" w:rsidRDefault="0071186E">
      <w:pPr>
        <w:pBdr>
          <w:top w:val="nil"/>
          <w:left w:val="nil"/>
          <w:bottom w:val="nil"/>
          <w:right w:val="nil"/>
          <w:between w:val="nil"/>
        </w:pBdr>
        <w:jc w:val="center"/>
        <w:rPr>
          <w:color w:val="000000"/>
          <w:szCs w:val="24"/>
          <w:lang w:val="en-US"/>
        </w:rPr>
      </w:pPr>
    </w:p>
    <w:p w14:paraId="1726239E" w14:textId="77777777" w:rsidR="0071186E" w:rsidRPr="008840D2" w:rsidRDefault="0071186E">
      <w:pPr>
        <w:pBdr>
          <w:top w:val="nil"/>
          <w:left w:val="nil"/>
          <w:bottom w:val="nil"/>
          <w:right w:val="nil"/>
          <w:between w:val="nil"/>
        </w:pBdr>
        <w:jc w:val="center"/>
        <w:rPr>
          <w:color w:val="000000"/>
          <w:szCs w:val="24"/>
          <w:lang w:val="en-US"/>
        </w:rPr>
      </w:pPr>
    </w:p>
    <w:p w14:paraId="4E8AA843" w14:textId="1EF8F60C" w:rsidR="0071186E" w:rsidRPr="008840D2" w:rsidRDefault="0071186E">
      <w:pPr>
        <w:pBdr>
          <w:top w:val="nil"/>
          <w:left w:val="nil"/>
          <w:bottom w:val="nil"/>
          <w:right w:val="nil"/>
          <w:between w:val="nil"/>
        </w:pBdr>
        <w:jc w:val="center"/>
        <w:rPr>
          <w:color w:val="000000"/>
          <w:szCs w:val="24"/>
          <w:lang w:val="en-US"/>
        </w:rPr>
      </w:pPr>
    </w:p>
    <w:p w14:paraId="3BDCF2F5" w14:textId="0EC9D8FA" w:rsidR="0071186E" w:rsidRPr="008840D2" w:rsidRDefault="007E0216">
      <w:pPr>
        <w:pBdr>
          <w:top w:val="nil"/>
          <w:left w:val="nil"/>
          <w:bottom w:val="nil"/>
          <w:right w:val="nil"/>
          <w:between w:val="nil"/>
        </w:pBdr>
        <w:jc w:val="center"/>
        <w:rPr>
          <w:color w:val="000000"/>
          <w:szCs w:val="24"/>
          <w:lang w:val="en-US"/>
        </w:rPr>
      </w:pPr>
      <w:r>
        <w:rPr>
          <w:noProof/>
          <w:lang w:val="en-US"/>
        </w:rPr>
        <w:drawing>
          <wp:anchor distT="0" distB="0" distL="114300" distR="114300" simplePos="0" relativeHeight="251668480" behindDoc="0" locked="0" layoutInCell="1" allowOverlap="1" wp14:anchorId="658555D8" wp14:editId="1074F924">
            <wp:simplePos x="0" y="0"/>
            <wp:positionH relativeFrom="column">
              <wp:posOffset>2069313</wp:posOffset>
            </wp:positionH>
            <wp:positionV relativeFrom="paragraph">
              <wp:posOffset>88981</wp:posOffset>
            </wp:positionV>
            <wp:extent cx="778699" cy="766801"/>
            <wp:effectExtent l="0" t="0" r="2540" b="0"/>
            <wp:wrapThrough wrapText="bothSides">
              <wp:wrapPolygon edited="0">
                <wp:start x="0" y="0"/>
                <wp:lineTo x="0" y="20938"/>
                <wp:lineTo x="21142" y="20938"/>
                <wp:lineTo x="21142" y="0"/>
                <wp:lineTo x="0" y="0"/>
              </wp:wrapPolygon>
            </wp:wrapThrough>
            <wp:docPr id="3094690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469097"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78699" cy="766801"/>
                    </a:xfrm>
                    <a:prstGeom prst="rect">
                      <a:avLst/>
                    </a:prstGeom>
                  </pic:spPr>
                </pic:pic>
              </a:graphicData>
            </a:graphic>
            <wp14:sizeRelH relativeFrom="margin">
              <wp14:pctWidth>0</wp14:pctWidth>
            </wp14:sizeRelH>
            <wp14:sizeRelV relativeFrom="margin">
              <wp14:pctHeight>0</wp14:pctHeight>
            </wp14:sizeRelV>
          </wp:anchor>
        </w:drawing>
      </w:r>
    </w:p>
    <w:p w14:paraId="2F26A6EF" w14:textId="0B7B2868" w:rsidR="007E0216" w:rsidRPr="00D63442" w:rsidRDefault="0071186E" w:rsidP="0071186E">
      <w:pPr>
        <w:rPr>
          <w:rFonts w:eastAsia="Arial"/>
          <w:szCs w:val="28"/>
          <w:lang w:val="en-US"/>
        </w:rPr>
      </w:pPr>
      <w:r>
        <w:rPr>
          <w:rFonts w:eastAsia="Arial"/>
          <w:color w:val="000000"/>
          <w:szCs w:val="28"/>
          <w:lang w:val="en-US"/>
        </w:rPr>
        <w:t>Student</w:t>
      </w:r>
    </w:p>
    <w:p w14:paraId="71E781CD" w14:textId="7F3B7697" w:rsidR="0071186E" w:rsidRPr="00D63442" w:rsidRDefault="0071186E" w:rsidP="0071186E">
      <w:pPr>
        <w:rPr>
          <w:rFonts w:eastAsia="Arial"/>
          <w:szCs w:val="28"/>
          <w:lang w:val="en-US"/>
        </w:rPr>
      </w:pPr>
      <w:r w:rsidRPr="00D63442">
        <w:rPr>
          <w:rFonts w:eastAsia="Arial"/>
          <w:szCs w:val="28"/>
          <w:lang w:val="en-US"/>
        </w:rPr>
        <w:t>Adeliya Seidaliyeva</w:t>
      </w:r>
      <w:r w:rsidRPr="00D63442">
        <w:rPr>
          <w:rFonts w:eastAsia="Arial"/>
          <w:szCs w:val="28"/>
          <w:lang w:val="en-US"/>
        </w:rPr>
        <w:tab/>
      </w:r>
      <w:r w:rsidRPr="00D63442">
        <w:rPr>
          <w:rFonts w:eastAsia="Arial"/>
          <w:szCs w:val="28"/>
          <w:lang w:val="en-US"/>
        </w:rPr>
        <w:tab/>
      </w:r>
      <w:r w:rsidRPr="00D63442">
        <w:rPr>
          <w:rFonts w:eastAsia="Arial"/>
          <w:szCs w:val="28"/>
          <w:lang w:val="en-US"/>
        </w:rPr>
        <w:tab/>
      </w:r>
      <w:r w:rsidRPr="00D63442">
        <w:rPr>
          <w:rFonts w:eastAsia="Arial"/>
          <w:szCs w:val="28"/>
          <w:lang w:val="en-US"/>
        </w:rPr>
        <w:tab/>
      </w:r>
      <w:r w:rsidRPr="00D63442">
        <w:rPr>
          <w:rFonts w:eastAsia="Arial"/>
          <w:szCs w:val="28"/>
          <w:lang w:val="en-US"/>
        </w:rPr>
        <w:tab/>
        <w:t xml:space="preserve"> </w:t>
      </w:r>
      <w:r w:rsidR="00B36771" w:rsidRPr="00D63442">
        <w:rPr>
          <w:rFonts w:eastAsia="Arial"/>
          <w:szCs w:val="28"/>
          <w:lang w:val="en-US"/>
        </w:rPr>
        <w:t>1</w:t>
      </w:r>
      <w:r w:rsidR="00D63442" w:rsidRPr="00D63442">
        <w:rPr>
          <w:rFonts w:eastAsia="Arial"/>
          <w:szCs w:val="28"/>
          <w:lang w:val="ru-RU"/>
        </w:rPr>
        <w:t>3</w:t>
      </w:r>
      <w:r w:rsidRPr="00D63442">
        <w:rPr>
          <w:rFonts w:eastAsia="Arial"/>
          <w:szCs w:val="28"/>
          <w:lang w:val="en-US"/>
        </w:rPr>
        <w:t>/04/2026</w:t>
      </w:r>
    </w:p>
    <w:p w14:paraId="1D8FB813" w14:textId="77777777" w:rsidR="007E0216" w:rsidRPr="00D63442" w:rsidRDefault="007E0216" w:rsidP="0071186E">
      <w:pPr>
        <w:rPr>
          <w:rFonts w:eastAsia="Arial"/>
          <w:szCs w:val="28"/>
          <w:lang w:val="en-US"/>
        </w:rPr>
      </w:pPr>
    </w:p>
    <w:p w14:paraId="477A37EA" w14:textId="77777777" w:rsidR="007E0216" w:rsidRPr="00D63442" w:rsidRDefault="0071186E" w:rsidP="0071186E">
      <w:pPr>
        <w:rPr>
          <w:rFonts w:eastAsia="Arial"/>
          <w:szCs w:val="28"/>
          <w:lang w:val="en-US"/>
        </w:rPr>
      </w:pPr>
      <w:proofErr w:type="gramStart"/>
      <w:r w:rsidRPr="00D63442">
        <w:rPr>
          <w:rFonts w:eastAsia="Arial"/>
          <w:szCs w:val="28"/>
          <w:lang w:val="en-US"/>
        </w:rPr>
        <w:t>Student’s</w:t>
      </w:r>
      <w:proofErr w:type="gramEnd"/>
      <w:r w:rsidRPr="00D63442">
        <w:rPr>
          <w:rFonts w:eastAsia="Arial"/>
          <w:szCs w:val="28"/>
          <w:lang w:val="en-US"/>
        </w:rPr>
        <w:t xml:space="preserve"> Supervisor/Advisor</w:t>
      </w:r>
      <w:bookmarkStart w:id="2" w:name="_Hlk48471052"/>
      <w:r w:rsidRPr="00D63442">
        <w:rPr>
          <w:rFonts w:eastAsia="Arial"/>
          <w:szCs w:val="28"/>
          <w:lang w:val="en-US"/>
        </w:rPr>
        <w:tab/>
      </w:r>
    </w:p>
    <w:p w14:paraId="0F7C5E0C" w14:textId="15A8E04D" w:rsidR="0071186E" w:rsidRPr="00D63442" w:rsidRDefault="007E0216" w:rsidP="0071186E">
      <w:pPr>
        <w:rPr>
          <w:rFonts w:eastAsia="Arial"/>
          <w:szCs w:val="28"/>
          <w:lang w:val="en-US"/>
        </w:rPr>
      </w:pPr>
      <w:r w:rsidRPr="00D63442">
        <w:rPr>
          <w:szCs w:val="24"/>
          <w:lang w:val="en-US"/>
        </w:rPr>
        <w:t>Ferdinand Molnár</w:t>
      </w:r>
      <w:r w:rsidRPr="00D63442">
        <w:rPr>
          <w:rFonts w:eastAsia="Arial"/>
          <w:szCs w:val="28"/>
          <w:lang w:val="en-US"/>
        </w:rPr>
        <w:tab/>
        <w:t xml:space="preserve">  </w:t>
      </w:r>
      <w:bookmarkEnd w:id="2"/>
      <w:r w:rsidRPr="00D63442">
        <w:rPr>
          <w:rFonts w:eastAsia="Arial"/>
          <w:szCs w:val="28"/>
          <w:lang w:val="en-US"/>
        </w:rPr>
        <w:t xml:space="preserve">         </w:t>
      </w:r>
      <w:r w:rsidRPr="00D63442">
        <w:rPr>
          <w:rFonts w:eastAsia="Arial"/>
          <w:szCs w:val="28"/>
          <w:lang w:val="en-US"/>
        </w:rPr>
        <w:tab/>
      </w:r>
      <w:r w:rsidRPr="00D63442">
        <w:rPr>
          <w:rFonts w:eastAsia="Arial"/>
          <w:szCs w:val="28"/>
          <w:lang w:val="en-US"/>
        </w:rPr>
        <w:tab/>
      </w:r>
      <w:r w:rsidRPr="00D63442">
        <w:rPr>
          <w:rFonts w:eastAsia="Arial"/>
          <w:szCs w:val="28"/>
          <w:lang w:val="en-US"/>
        </w:rPr>
        <w:tab/>
      </w:r>
      <w:r w:rsidRPr="00D63442">
        <w:rPr>
          <w:rFonts w:eastAsia="Arial"/>
          <w:szCs w:val="28"/>
          <w:lang w:val="en-US"/>
        </w:rPr>
        <w:tab/>
      </w:r>
      <w:r w:rsidRPr="00D63442">
        <w:rPr>
          <w:rFonts w:eastAsia="Arial"/>
          <w:szCs w:val="28"/>
          <w:lang w:val="en-US"/>
        </w:rPr>
        <w:tab/>
      </w:r>
      <w:r w:rsidRPr="00D63442">
        <w:rPr>
          <w:rFonts w:eastAsia="Arial"/>
          <w:szCs w:val="28"/>
          <w:lang w:val="en-US"/>
        </w:rPr>
        <w:tab/>
        <w:t xml:space="preserve"> </w:t>
      </w:r>
      <w:r w:rsidR="00B36771" w:rsidRPr="00D63442">
        <w:rPr>
          <w:rFonts w:eastAsia="Arial"/>
          <w:szCs w:val="28"/>
          <w:lang w:val="en-US"/>
        </w:rPr>
        <w:t>1</w:t>
      </w:r>
      <w:r w:rsidR="00D63442" w:rsidRPr="00D63442">
        <w:rPr>
          <w:rFonts w:eastAsia="Arial"/>
          <w:szCs w:val="28"/>
          <w:lang w:val="ru-RU"/>
        </w:rPr>
        <w:t>3</w:t>
      </w:r>
      <w:r w:rsidRPr="00D63442">
        <w:rPr>
          <w:rFonts w:eastAsia="Arial"/>
          <w:szCs w:val="28"/>
          <w:lang w:val="en-US"/>
        </w:rPr>
        <w:t>/04/2026</w:t>
      </w:r>
    </w:p>
    <w:p w14:paraId="37AC06E6" w14:textId="557AC70A" w:rsidR="0071186E" w:rsidRPr="008840D2" w:rsidRDefault="0071186E">
      <w:pPr>
        <w:pBdr>
          <w:top w:val="nil"/>
          <w:left w:val="nil"/>
          <w:bottom w:val="nil"/>
          <w:right w:val="nil"/>
          <w:between w:val="nil"/>
        </w:pBdr>
        <w:jc w:val="center"/>
        <w:rPr>
          <w:color w:val="000000"/>
          <w:szCs w:val="24"/>
          <w:lang w:val="en-US"/>
        </w:rPr>
      </w:pPr>
    </w:p>
    <w:p w14:paraId="489777C3" w14:textId="06C1E6CC" w:rsidR="007E0216" w:rsidRPr="008840D2" w:rsidRDefault="007E0216" w:rsidP="0007339A">
      <w:pPr>
        <w:pStyle w:val="Heading1"/>
        <w:jc w:val="center"/>
        <w:rPr>
          <w:szCs w:val="24"/>
          <w:lang w:val="en-US"/>
        </w:rPr>
      </w:pPr>
      <w:r w:rsidRPr="0007339A">
        <w:rPr>
          <w:lang w:val="en-US"/>
        </w:rPr>
        <w:br w:type="page"/>
      </w:r>
      <w:bookmarkStart w:id="3" w:name="_Toc227014971"/>
      <w:r>
        <w:rPr>
          <w:lang w:val="en-US"/>
        </w:rPr>
        <w:lastRenderedPageBreak/>
        <w:t>DECLARATION</w:t>
      </w:r>
      <w:bookmarkEnd w:id="3"/>
    </w:p>
    <w:p w14:paraId="75DA546B" w14:textId="77777777" w:rsidR="007E0216" w:rsidRPr="008840D2" w:rsidRDefault="007E0216" w:rsidP="007E0216">
      <w:pPr>
        <w:pBdr>
          <w:top w:val="nil"/>
          <w:left w:val="nil"/>
          <w:bottom w:val="nil"/>
          <w:right w:val="nil"/>
          <w:between w:val="nil"/>
        </w:pBdr>
        <w:jc w:val="center"/>
        <w:rPr>
          <w:color w:val="000000"/>
          <w:szCs w:val="24"/>
          <w:lang w:val="en-US"/>
        </w:rPr>
      </w:pPr>
    </w:p>
    <w:p w14:paraId="7AE9EEFC" w14:textId="77777777" w:rsidR="0071186E" w:rsidRPr="008840D2" w:rsidRDefault="007E0216" w:rsidP="007E0216">
      <w:pPr>
        <w:pBdr>
          <w:top w:val="nil"/>
          <w:left w:val="nil"/>
          <w:bottom w:val="nil"/>
          <w:right w:val="nil"/>
          <w:between w:val="nil"/>
        </w:pBdr>
        <w:jc w:val="center"/>
        <w:rPr>
          <w:color w:val="000000"/>
          <w:szCs w:val="24"/>
          <w:lang w:val="en-US"/>
        </w:rPr>
      </w:pPr>
      <w:r>
        <w:rPr>
          <w:color w:val="000000"/>
          <w:szCs w:val="24"/>
          <w:lang w:val="en-US"/>
        </w:rPr>
        <w:t>I hereby declare that the thesis is my original work and it has been written by me in its entirety. I have duly acknowledged all the sources of information which have been used in the thesis. This thesis has also not been submitted for any degree in any university previously.</w:t>
      </w:r>
    </w:p>
    <w:p w14:paraId="4B95879A" w14:textId="77777777" w:rsidR="007E0216" w:rsidRPr="008840D2" w:rsidRDefault="007E0216" w:rsidP="007E0216">
      <w:pPr>
        <w:pBdr>
          <w:top w:val="nil"/>
          <w:left w:val="nil"/>
          <w:bottom w:val="nil"/>
          <w:right w:val="nil"/>
          <w:between w:val="nil"/>
        </w:pBdr>
        <w:jc w:val="center"/>
        <w:rPr>
          <w:color w:val="000000"/>
          <w:szCs w:val="24"/>
          <w:lang w:val="en-US"/>
        </w:rPr>
      </w:pPr>
    </w:p>
    <w:p w14:paraId="5F716301" w14:textId="427FF14B" w:rsidR="007E0216" w:rsidRPr="008840D2" w:rsidRDefault="007E0216">
      <w:pPr>
        <w:spacing w:line="240" w:lineRule="auto"/>
        <w:jc w:val="left"/>
        <w:rPr>
          <w:color w:val="000000"/>
          <w:szCs w:val="24"/>
          <w:lang w:val="en-US"/>
        </w:rPr>
      </w:pPr>
      <w:r>
        <w:rPr>
          <w:color w:val="000000"/>
          <w:szCs w:val="24"/>
          <w:lang w:val="en-US"/>
        </w:rPr>
        <w:br w:type="page"/>
      </w:r>
    </w:p>
    <w:p w14:paraId="4CE5CB40" w14:textId="77777777" w:rsidR="007E0216" w:rsidRPr="008840D2" w:rsidRDefault="007E0216" w:rsidP="0007339A">
      <w:pPr>
        <w:pStyle w:val="Heading1"/>
        <w:jc w:val="center"/>
        <w:rPr>
          <w:color w:val="EE0000"/>
          <w:lang w:val="en-US"/>
        </w:rPr>
      </w:pPr>
      <w:bookmarkStart w:id="4" w:name="_Toc227014972"/>
      <w:r>
        <w:rPr>
          <w:lang w:val="en-US"/>
        </w:rPr>
        <w:lastRenderedPageBreak/>
        <w:t>ACKNOWLEDGEMENTS</w:t>
      </w:r>
      <w:bookmarkEnd w:id="4"/>
    </w:p>
    <w:p w14:paraId="6828539F" w14:textId="77777777" w:rsidR="008E37DD" w:rsidRPr="00666416" w:rsidRDefault="008E37DD" w:rsidP="00D43E92">
      <w:pPr>
        <w:pBdr>
          <w:top w:val="nil"/>
          <w:left w:val="nil"/>
          <w:bottom w:val="nil"/>
          <w:right w:val="nil"/>
          <w:between w:val="nil"/>
        </w:pBdr>
        <w:rPr>
          <w:color w:val="000000"/>
          <w:szCs w:val="24"/>
          <w:lang w:val="en-US"/>
        </w:rPr>
      </w:pPr>
    </w:p>
    <w:p w14:paraId="0C79C3DA" w14:textId="39896D06" w:rsidR="00D43E92" w:rsidRPr="00666416" w:rsidRDefault="00D43E92" w:rsidP="00D43E92">
      <w:pPr>
        <w:pBdr>
          <w:top w:val="nil"/>
          <w:left w:val="nil"/>
          <w:bottom w:val="nil"/>
          <w:right w:val="nil"/>
          <w:between w:val="nil"/>
        </w:pBdr>
        <w:rPr>
          <w:color w:val="000000"/>
          <w:szCs w:val="24"/>
          <w:lang w:val="en-US"/>
        </w:rPr>
      </w:pPr>
      <w:r>
        <w:rPr>
          <w:color w:val="000000"/>
          <w:szCs w:val="24"/>
          <w:lang w:val="en-US"/>
        </w:rPr>
        <w:t>I would like to express my sincere gratitude to</w:t>
      </w:r>
      <w:r>
        <w:rPr>
          <w:color w:val="000000"/>
          <w:szCs w:val="24"/>
        </w:rPr>
        <w:t xml:space="preserve"> my supervisor</w:t>
      </w:r>
      <w:r w:rsidRPr="00666416">
        <w:rPr>
          <w:color w:val="000000"/>
          <w:szCs w:val="24"/>
          <w:lang w:val="en-US"/>
        </w:rPr>
        <w:t>,</w:t>
      </w:r>
      <w:r>
        <w:rPr>
          <w:color w:val="000000"/>
          <w:szCs w:val="24"/>
          <w:lang w:val="en-US"/>
        </w:rPr>
        <w:t xml:space="preserve"> Ferdinand Molnár, for his guidance, support, and valuable advice throughout the course of this work.</w:t>
      </w:r>
    </w:p>
    <w:p w14:paraId="677C92BF" w14:textId="14463172" w:rsidR="00D43E92" w:rsidRPr="00666416" w:rsidRDefault="00D43E92" w:rsidP="00D43E92">
      <w:pPr>
        <w:pBdr>
          <w:top w:val="nil"/>
          <w:left w:val="nil"/>
          <w:bottom w:val="nil"/>
          <w:right w:val="nil"/>
          <w:between w:val="nil"/>
        </w:pBdr>
        <w:rPr>
          <w:color w:val="000000"/>
          <w:szCs w:val="24"/>
          <w:lang w:val="en-US"/>
        </w:rPr>
      </w:pPr>
      <w:r>
        <w:rPr>
          <w:color w:val="000000"/>
          <w:szCs w:val="24"/>
          <w:lang w:val="en-US"/>
        </w:rPr>
        <w:t>I am deeply grateful to my parents and friends for their kindness, motivation, and emotional support, which helped me throughout this period.</w:t>
      </w:r>
    </w:p>
    <w:p w14:paraId="415895A0" w14:textId="2B3597E7" w:rsidR="007E0216" w:rsidRPr="00666416" w:rsidRDefault="00D43E92" w:rsidP="00D43E92">
      <w:pPr>
        <w:pBdr>
          <w:top w:val="nil"/>
          <w:left w:val="nil"/>
          <w:bottom w:val="nil"/>
          <w:right w:val="nil"/>
          <w:between w:val="nil"/>
        </w:pBdr>
        <w:rPr>
          <w:color w:val="000000"/>
          <w:szCs w:val="24"/>
          <w:lang w:val="en-US"/>
        </w:rPr>
      </w:pPr>
      <w:r>
        <w:rPr>
          <w:color w:val="000000"/>
          <w:szCs w:val="24"/>
          <w:lang w:val="en-US"/>
        </w:rPr>
        <w:t>I would also like to thank my classmates from the Life Sciences program for their support, shared experiences, and encouragement throughout this academic journey.</w:t>
      </w:r>
      <w:r>
        <w:rPr>
          <w:color w:val="000000"/>
          <w:szCs w:val="24"/>
          <w:lang w:val="en-US"/>
        </w:rPr>
        <w:br w:type="page"/>
      </w:r>
    </w:p>
    <w:p w14:paraId="07A5A69F" w14:textId="2F726F9E" w:rsidR="007E0216" w:rsidRDefault="007E0216" w:rsidP="00E90946">
      <w:pPr>
        <w:pStyle w:val="Heading1"/>
        <w:jc w:val="center"/>
        <w:rPr>
          <w:lang w:val="en-US"/>
        </w:rPr>
      </w:pPr>
      <w:bookmarkStart w:id="5" w:name="_TOC_250002"/>
      <w:bookmarkStart w:id="6" w:name="_Toc227014973"/>
      <w:r>
        <w:rPr>
          <w:lang w:val="en-US"/>
        </w:rPr>
        <w:lastRenderedPageBreak/>
        <w:t>LIST</w:t>
      </w:r>
      <w:r>
        <w:rPr>
          <w:spacing w:val="-3"/>
          <w:lang w:val="en-US"/>
        </w:rPr>
        <w:t xml:space="preserve"> </w:t>
      </w:r>
      <w:r>
        <w:rPr>
          <w:lang w:val="en-US"/>
        </w:rPr>
        <w:t>OF</w:t>
      </w:r>
      <w:r>
        <w:rPr>
          <w:spacing w:val="-1"/>
          <w:lang w:val="en-US"/>
        </w:rPr>
        <w:t xml:space="preserve"> </w:t>
      </w:r>
      <w:bookmarkEnd w:id="5"/>
      <w:r>
        <w:rPr>
          <w:lang w:val="en-US"/>
        </w:rPr>
        <w:t>TABLES</w:t>
      </w:r>
      <w:bookmarkEnd w:id="6"/>
    </w:p>
    <w:p w14:paraId="7B66BEE2" w14:textId="77777777" w:rsidR="009C5EB9" w:rsidRPr="008840D2" w:rsidRDefault="009C5EB9" w:rsidP="008840D2">
      <w:pPr>
        <w:jc w:val="center"/>
        <w:rPr>
          <w:b/>
          <w:bCs/>
          <w:sz w:val="28"/>
          <w:szCs w:val="28"/>
          <w:lang w:val="en-US"/>
        </w:rPr>
      </w:pPr>
    </w:p>
    <w:p w14:paraId="4B515D8E" w14:textId="1E86AB9D" w:rsidR="008840D2" w:rsidRPr="008840D2" w:rsidRDefault="008840D2" w:rsidP="008840D2">
      <w:pPr>
        <w:pStyle w:val="ListParagraph"/>
        <w:numPr>
          <w:ilvl w:val="0"/>
          <w:numId w:val="2"/>
        </w:numPr>
        <w:spacing w:line="240" w:lineRule="auto"/>
        <w:rPr>
          <w:color w:val="000000"/>
          <w:szCs w:val="24"/>
          <w:lang w:val="en-US"/>
        </w:rPr>
      </w:pPr>
      <w:r>
        <w:rPr>
          <w:b/>
          <w:bCs/>
          <w:color w:val="000000"/>
          <w:szCs w:val="24"/>
          <w:lang w:val="en-US"/>
        </w:rPr>
        <w:t>Table 1.</w:t>
      </w:r>
      <w:r>
        <w:rPr>
          <w:color w:val="000000"/>
          <w:szCs w:val="24"/>
          <w:lang w:val="en-US"/>
        </w:rPr>
        <w:t xml:space="preserve"> Structure and description of variables in the curated VDR ligand dataset.</w:t>
      </w:r>
    </w:p>
    <w:p w14:paraId="0B7EF046" w14:textId="77777777" w:rsidR="008840D2" w:rsidRPr="008840D2" w:rsidRDefault="008840D2" w:rsidP="008840D2">
      <w:pPr>
        <w:spacing w:line="240" w:lineRule="auto"/>
        <w:rPr>
          <w:color w:val="000000"/>
          <w:szCs w:val="24"/>
          <w:lang w:val="en-US"/>
        </w:rPr>
      </w:pPr>
    </w:p>
    <w:p w14:paraId="1FD45F2F" w14:textId="77777777" w:rsidR="008840D2" w:rsidRPr="008840D2" w:rsidRDefault="008840D2" w:rsidP="008840D2">
      <w:pPr>
        <w:pStyle w:val="ListParagraph"/>
        <w:numPr>
          <w:ilvl w:val="0"/>
          <w:numId w:val="2"/>
        </w:numPr>
        <w:spacing w:line="240" w:lineRule="auto"/>
        <w:rPr>
          <w:color w:val="000000"/>
          <w:szCs w:val="24"/>
          <w:lang w:val="en-US"/>
        </w:rPr>
      </w:pPr>
      <w:r>
        <w:rPr>
          <w:b/>
          <w:bCs/>
          <w:color w:val="000000"/>
          <w:szCs w:val="24"/>
          <w:lang w:val="en-US"/>
        </w:rPr>
        <w:t>Table 2.</w:t>
      </w:r>
      <w:r>
        <w:rPr>
          <w:color w:val="000000"/>
          <w:szCs w:val="24"/>
          <w:lang w:val="en-US"/>
        </w:rPr>
        <w:t xml:space="preserve"> Distribution of Lipinski’s and Veber’s rule violations.</w:t>
      </w:r>
    </w:p>
    <w:p w14:paraId="315458EE" w14:textId="77777777" w:rsidR="008840D2" w:rsidRPr="008840D2" w:rsidRDefault="008840D2" w:rsidP="008840D2">
      <w:pPr>
        <w:spacing w:line="240" w:lineRule="auto"/>
        <w:rPr>
          <w:color w:val="000000"/>
          <w:szCs w:val="24"/>
          <w:lang w:val="en-US"/>
        </w:rPr>
      </w:pPr>
    </w:p>
    <w:p w14:paraId="0BE4678C" w14:textId="77777777" w:rsidR="008840D2" w:rsidRPr="008E37DD" w:rsidRDefault="008840D2" w:rsidP="008840D2">
      <w:pPr>
        <w:pStyle w:val="ListParagraph"/>
        <w:numPr>
          <w:ilvl w:val="0"/>
          <w:numId w:val="2"/>
        </w:numPr>
        <w:spacing w:line="240" w:lineRule="auto"/>
        <w:rPr>
          <w:color w:val="000000"/>
          <w:szCs w:val="24"/>
          <w:lang w:val="en-US"/>
        </w:rPr>
      </w:pPr>
      <w:r>
        <w:rPr>
          <w:b/>
          <w:bCs/>
          <w:color w:val="000000"/>
          <w:szCs w:val="24"/>
          <w:lang w:val="en-US"/>
        </w:rPr>
        <w:t>Table 3.</w:t>
      </w:r>
      <w:r>
        <w:rPr>
          <w:color w:val="000000"/>
          <w:szCs w:val="24"/>
          <w:lang w:val="en-US"/>
        </w:rPr>
        <w:t xml:space="preserve"> Compliance with individual drug-likeness criteria.</w:t>
      </w:r>
    </w:p>
    <w:p w14:paraId="2F86A025" w14:textId="77777777" w:rsidR="008E37DD" w:rsidRPr="00666416" w:rsidRDefault="008E37DD" w:rsidP="008E37DD">
      <w:pPr>
        <w:spacing w:line="240" w:lineRule="auto"/>
        <w:rPr>
          <w:color w:val="000000"/>
          <w:szCs w:val="24"/>
          <w:lang w:val="en-US"/>
        </w:rPr>
      </w:pPr>
    </w:p>
    <w:p w14:paraId="54652B78" w14:textId="752F4F22" w:rsidR="008840D2" w:rsidRPr="008840D2" w:rsidRDefault="008840D2" w:rsidP="008840D2">
      <w:pPr>
        <w:pStyle w:val="ListParagraph"/>
        <w:numPr>
          <w:ilvl w:val="0"/>
          <w:numId w:val="2"/>
        </w:numPr>
        <w:spacing w:line="240" w:lineRule="auto"/>
        <w:rPr>
          <w:color w:val="000000"/>
          <w:szCs w:val="24"/>
          <w:lang w:val="en-US"/>
        </w:rPr>
      </w:pPr>
      <w:r>
        <w:rPr>
          <w:b/>
          <w:bCs/>
          <w:color w:val="000000"/>
          <w:szCs w:val="24"/>
          <w:lang w:val="en-US"/>
        </w:rPr>
        <w:t>Table 4</w:t>
      </w:r>
      <w:r>
        <w:rPr>
          <w:color w:val="000000"/>
          <w:szCs w:val="24"/>
          <w:lang w:val="en-US"/>
        </w:rPr>
        <w:t>. Kruskal–</w:t>
      </w:r>
      <w:proofErr w:type="gramStart"/>
      <w:r>
        <w:rPr>
          <w:color w:val="000000"/>
          <w:szCs w:val="24"/>
          <w:lang w:val="en-US"/>
        </w:rPr>
        <w:t>Wallis</w:t>
      </w:r>
      <w:proofErr w:type="gramEnd"/>
      <w:r>
        <w:rPr>
          <w:color w:val="000000"/>
          <w:szCs w:val="24"/>
          <w:lang w:val="en-US"/>
        </w:rPr>
        <w:t xml:space="preserve"> test for differences in NP-score among structural categories.</w:t>
      </w:r>
    </w:p>
    <w:p w14:paraId="48416A9E" w14:textId="77777777" w:rsidR="008840D2" w:rsidRPr="008840D2" w:rsidRDefault="008840D2" w:rsidP="008840D2">
      <w:pPr>
        <w:spacing w:line="240" w:lineRule="auto"/>
        <w:rPr>
          <w:color w:val="000000"/>
          <w:szCs w:val="24"/>
          <w:lang w:val="en-US"/>
        </w:rPr>
      </w:pPr>
    </w:p>
    <w:p w14:paraId="10A408F1" w14:textId="77777777" w:rsidR="008840D2" w:rsidRPr="008840D2" w:rsidRDefault="008840D2" w:rsidP="008840D2">
      <w:pPr>
        <w:pStyle w:val="ListParagraph"/>
        <w:numPr>
          <w:ilvl w:val="0"/>
          <w:numId w:val="2"/>
        </w:numPr>
        <w:spacing w:line="240" w:lineRule="auto"/>
        <w:rPr>
          <w:color w:val="000000"/>
          <w:szCs w:val="24"/>
          <w:lang w:val="en-US"/>
        </w:rPr>
      </w:pPr>
      <w:r>
        <w:rPr>
          <w:b/>
          <w:bCs/>
          <w:color w:val="000000"/>
          <w:szCs w:val="24"/>
          <w:lang w:val="en-US"/>
        </w:rPr>
        <w:t>Table 5.</w:t>
      </w:r>
      <w:r>
        <w:rPr>
          <w:color w:val="000000"/>
          <w:szCs w:val="24"/>
          <w:lang w:val="en-US"/>
        </w:rPr>
        <w:t xml:space="preserve"> Dunn’s post hoc pairwise comparisons of NP-score among structural categories following the Kruskal–</w:t>
      </w:r>
      <w:proofErr w:type="gramStart"/>
      <w:r>
        <w:rPr>
          <w:color w:val="000000"/>
          <w:szCs w:val="24"/>
          <w:lang w:val="en-US"/>
        </w:rPr>
        <w:t>Wallis</w:t>
      </w:r>
      <w:proofErr w:type="gramEnd"/>
      <w:r>
        <w:rPr>
          <w:color w:val="000000"/>
          <w:szCs w:val="24"/>
          <w:lang w:val="en-US"/>
        </w:rPr>
        <w:t xml:space="preserve"> test.</w:t>
      </w:r>
    </w:p>
    <w:p w14:paraId="7FF7BB59" w14:textId="77777777" w:rsidR="008840D2" w:rsidRPr="008840D2" w:rsidRDefault="008840D2" w:rsidP="008840D2">
      <w:pPr>
        <w:spacing w:line="240" w:lineRule="auto"/>
        <w:rPr>
          <w:color w:val="000000"/>
          <w:szCs w:val="24"/>
          <w:lang w:val="en-US"/>
        </w:rPr>
      </w:pPr>
    </w:p>
    <w:p w14:paraId="5DDB2F34" w14:textId="77777777" w:rsidR="008840D2" w:rsidRPr="008840D2" w:rsidRDefault="008840D2" w:rsidP="008840D2">
      <w:pPr>
        <w:pStyle w:val="ListParagraph"/>
        <w:numPr>
          <w:ilvl w:val="0"/>
          <w:numId w:val="2"/>
        </w:numPr>
        <w:spacing w:line="240" w:lineRule="auto"/>
        <w:rPr>
          <w:color w:val="000000"/>
          <w:szCs w:val="24"/>
          <w:lang w:val="en-US"/>
        </w:rPr>
      </w:pPr>
      <w:r>
        <w:rPr>
          <w:b/>
          <w:bCs/>
          <w:color w:val="000000"/>
          <w:szCs w:val="24"/>
          <w:lang w:val="en-US"/>
        </w:rPr>
        <w:t>Table 6.</w:t>
      </w:r>
      <w:r>
        <w:rPr>
          <w:color w:val="000000"/>
          <w:szCs w:val="24"/>
          <w:lang w:val="en-US"/>
        </w:rPr>
        <w:t xml:space="preserve"> Pairwise Tanimoto similarity statistics for the VDR ligand dataset across different fingerprint representations.</w:t>
      </w:r>
    </w:p>
    <w:p w14:paraId="3CAED10E" w14:textId="77777777" w:rsidR="008840D2" w:rsidRPr="008840D2" w:rsidRDefault="008840D2" w:rsidP="008840D2">
      <w:pPr>
        <w:spacing w:line="240" w:lineRule="auto"/>
        <w:rPr>
          <w:color w:val="000000"/>
          <w:szCs w:val="24"/>
          <w:lang w:val="en-US"/>
        </w:rPr>
      </w:pPr>
    </w:p>
    <w:p w14:paraId="1996E6E5" w14:textId="77777777" w:rsidR="008840D2" w:rsidRPr="008840D2" w:rsidRDefault="008840D2" w:rsidP="008840D2">
      <w:pPr>
        <w:pStyle w:val="ListParagraph"/>
        <w:numPr>
          <w:ilvl w:val="0"/>
          <w:numId w:val="2"/>
        </w:numPr>
        <w:spacing w:line="240" w:lineRule="auto"/>
        <w:rPr>
          <w:color w:val="000000"/>
          <w:szCs w:val="24"/>
          <w:lang w:val="en-US"/>
        </w:rPr>
      </w:pPr>
      <w:r>
        <w:rPr>
          <w:b/>
          <w:bCs/>
          <w:color w:val="000000"/>
          <w:szCs w:val="24"/>
          <w:lang w:val="en-US"/>
        </w:rPr>
        <w:t>Table 7.</w:t>
      </w:r>
      <w:r>
        <w:rPr>
          <w:color w:val="000000"/>
          <w:szCs w:val="24"/>
          <w:lang w:val="en-US"/>
        </w:rPr>
        <w:t xml:space="preserve"> Intra-category structural compactness based on Tanimoto distance across fingerprint representations.</w:t>
      </w:r>
    </w:p>
    <w:p w14:paraId="4D24ACBE" w14:textId="77777777" w:rsidR="008840D2" w:rsidRPr="008840D2" w:rsidRDefault="008840D2" w:rsidP="008840D2">
      <w:pPr>
        <w:spacing w:line="240" w:lineRule="auto"/>
        <w:rPr>
          <w:color w:val="000000"/>
          <w:szCs w:val="24"/>
          <w:lang w:val="en-US"/>
        </w:rPr>
      </w:pPr>
    </w:p>
    <w:p w14:paraId="1303CECA" w14:textId="77777777" w:rsidR="008840D2" w:rsidRPr="008840D2" w:rsidRDefault="008840D2" w:rsidP="008840D2">
      <w:pPr>
        <w:pStyle w:val="ListParagraph"/>
        <w:numPr>
          <w:ilvl w:val="0"/>
          <w:numId w:val="2"/>
        </w:numPr>
        <w:spacing w:line="240" w:lineRule="auto"/>
        <w:rPr>
          <w:color w:val="000000"/>
          <w:szCs w:val="24"/>
          <w:lang w:val="en-US"/>
        </w:rPr>
      </w:pPr>
      <w:r>
        <w:rPr>
          <w:b/>
          <w:bCs/>
          <w:color w:val="000000"/>
          <w:szCs w:val="24"/>
          <w:lang w:val="en-US"/>
        </w:rPr>
        <w:t>Table 8.</w:t>
      </w:r>
      <w:r>
        <w:rPr>
          <w:color w:val="000000"/>
          <w:szCs w:val="24"/>
          <w:lang w:val="en-US"/>
        </w:rPr>
        <w:t xml:space="preserve"> Clustering performance metrics for VDR ligands across fingerprint types and similarity thresholds.</w:t>
      </w:r>
    </w:p>
    <w:p w14:paraId="4D27B781" w14:textId="77777777" w:rsidR="008840D2" w:rsidRPr="008840D2" w:rsidRDefault="008840D2" w:rsidP="008840D2">
      <w:pPr>
        <w:spacing w:line="240" w:lineRule="auto"/>
        <w:rPr>
          <w:color w:val="000000"/>
          <w:szCs w:val="24"/>
          <w:lang w:val="en-US"/>
        </w:rPr>
      </w:pPr>
    </w:p>
    <w:p w14:paraId="07B79DB8" w14:textId="7BEBB43B" w:rsidR="008840D2" w:rsidRPr="008840D2" w:rsidRDefault="008840D2" w:rsidP="008840D2">
      <w:pPr>
        <w:pStyle w:val="ListParagraph"/>
        <w:numPr>
          <w:ilvl w:val="0"/>
          <w:numId w:val="2"/>
        </w:numPr>
        <w:spacing w:line="240" w:lineRule="auto"/>
        <w:rPr>
          <w:color w:val="000000"/>
          <w:szCs w:val="24"/>
          <w:lang w:val="en-US"/>
        </w:rPr>
      </w:pPr>
      <w:r>
        <w:rPr>
          <w:b/>
          <w:bCs/>
          <w:color w:val="000000"/>
          <w:szCs w:val="24"/>
          <w:lang w:val="en-US"/>
        </w:rPr>
        <w:t>Table A1.</w:t>
      </w:r>
      <w:r>
        <w:rPr>
          <w:color w:val="000000"/>
          <w:szCs w:val="24"/>
          <w:lang w:val="en-US"/>
        </w:rPr>
        <w:t xml:space="preserve"> Shapiro–Wilk normality test for NP-score within each structural category.</w:t>
      </w:r>
    </w:p>
    <w:p w14:paraId="2A2A44C2" w14:textId="77777777" w:rsidR="008840D2" w:rsidRPr="008840D2" w:rsidRDefault="008840D2" w:rsidP="008840D2">
      <w:pPr>
        <w:spacing w:line="240" w:lineRule="auto"/>
        <w:rPr>
          <w:color w:val="000000"/>
          <w:szCs w:val="24"/>
          <w:lang w:val="en-US"/>
        </w:rPr>
      </w:pPr>
    </w:p>
    <w:p w14:paraId="329C80B2" w14:textId="1C6E47A0" w:rsidR="008840D2" w:rsidRPr="008840D2" w:rsidRDefault="008840D2" w:rsidP="008840D2">
      <w:pPr>
        <w:pStyle w:val="ListParagraph"/>
        <w:numPr>
          <w:ilvl w:val="0"/>
          <w:numId w:val="2"/>
        </w:numPr>
        <w:spacing w:line="240" w:lineRule="auto"/>
        <w:rPr>
          <w:color w:val="000000"/>
          <w:szCs w:val="24"/>
          <w:lang w:val="en-US"/>
        </w:rPr>
      </w:pPr>
      <w:r>
        <w:rPr>
          <w:b/>
          <w:bCs/>
          <w:color w:val="000000"/>
          <w:szCs w:val="24"/>
          <w:lang w:val="en-US"/>
        </w:rPr>
        <w:t>Table A2.</w:t>
      </w:r>
      <w:r>
        <w:rPr>
          <w:color w:val="000000"/>
          <w:szCs w:val="24"/>
          <w:lang w:val="en-US"/>
        </w:rPr>
        <w:t xml:space="preserve"> Levene’s test for homogeneity of variance of NP-score across structural categories.</w:t>
      </w:r>
    </w:p>
    <w:p w14:paraId="1BCD62DF" w14:textId="39020BAD" w:rsidR="007E0216" w:rsidRPr="008840D2" w:rsidRDefault="007E0216">
      <w:pPr>
        <w:spacing w:line="240" w:lineRule="auto"/>
        <w:jc w:val="left"/>
        <w:rPr>
          <w:color w:val="000000"/>
          <w:szCs w:val="24"/>
          <w:lang w:val="en-US"/>
        </w:rPr>
      </w:pPr>
    </w:p>
    <w:p w14:paraId="07AC71BC" w14:textId="30DDA35C" w:rsidR="007E0216" w:rsidRPr="008840D2" w:rsidRDefault="007E0216">
      <w:pPr>
        <w:spacing w:line="240" w:lineRule="auto"/>
        <w:jc w:val="left"/>
        <w:rPr>
          <w:color w:val="000000"/>
          <w:szCs w:val="24"/>
          <w:lang w:val="en-US"/>
        </w:rPr>
      </w:pPr>
      <w:r>
        <w:rPr>
          <w:color w:val="000000"/>
          <w:szCs w:val="24"/>
          <w:lang w:val="en-US"/>
        </w:rPr>
        <w:br w:type="page"/>
      </w:r>
    </w:p>
    <w:p w14:paraId="01892E17" w14:textId="77777777" w:rsidR="007E0216" w:rsidRPr="008840D2" w:rsidRDefault="007E0216" w:rsidP="00E90946">
      <w:pPr>
        <w:pStyle w:val="Heading1"/>
        <w:jc w:val="center"/>
        <w:rPr>
          <w:lang w:val="en-US"/>
        </w:rPr>
      </w:pPr>
      <w:bookmarkStart w:id="7" w:name="_TOC_250001"/>
      <w:bookmarkStart w:id="8" w:name="_Toc227014974"/>
      <w:r>
        <w:rPr>
          <w:lang w:val="en-US"/>
        </w:rPr>
        <w:lastRenderedPageBreak/>
        <w:t>LIST</w:t>
      </w:r>
      <w:r>
        <w:rPr>
          <w:spacing w:val="-4"/>
          <w:lang w:val="en-US"/>
        </w:rPr>
        <w:t xml:space="preserve"> </w:t>
      </w:r>
      <w:r>
        <w:rPr>
          <w:lang w:val="en-US"/>
        </w:rPr>
        <w:t>OF</w:t>
      </w:r>
      <w:r>
        <w:rPr>
          <w:spacing w:val="-2"/>
          <w:lang w:val="en-US"/>
        </w:rPr>
        <w:t xml:space="preserve"> </w:t>
      </w:r>
      <w:r>
        <w:rPr>
          <w:lang w:val="en-US"/>
        </w:rPr>
        <w:t>FIGURES</w:t>
      </w:r>
      <w:r>
        <w:rPr>
          <w:spacing w:val="-5"/>
          <w:lang w:val="en-US"/>
        </w:rPr>
        <w:t xml:space="preserve"> </w:t>
      </w:r>
      <w:bookmarkEnd w:id="7"/>
      <w:r>
        <w:rPr>
          <w:spacing w:val="-5"/>
          <w:lang w:val="en-US"/>
        </w:rPr>
        <w:t xml:space="preserve">AND </w:t>
      </w:r>
      <w:r>
        <w:rPr>
          <w:lang w:val="en-US"/>
        </w:rPr>
        <w:t>ILLUSTRATIONS</w:t>
      </w:r>
      <w:bookmarkEnd w:id="8"/>
    </w:p>
    <w:p w14:paraId="71E4DEC5" w14:textId="77777777" w:rsidR="007E0216" w:rsidRDefault="007E0216" w:rsidP="008840D2">
      <w:pPr>
        <w:pBdr>
          <w:top w:val="nil"/>
          <w:left w:val="nil"/>
          <w:bottom w:val="nil"/>
          <w:right w:val="nil"/>
          <w:between w:val="nil"/>
        </w:pBdr>
        <w:rPr>
          <w:b/>
          <w:bCs/>
          <w:color w:val="000000"/>
          <w:szCs w:val="24"/>
          <w:lang w:val="en-US"/>
        </w:rPr>
      </w:pPr>
    </w:p>
    <w:p w14:paraId="48E7B559" w14:textId="395870D5" w:rsidR="008840D2" w:rsidRPr="008840D2" w:rsidRDefault="008840D2" w:rsidP="008840D2">
      <w:pPr>
        <w:pStyle w:val="ListParagraph"/>
        <w:numPr>
          <w:ilvl w:val="0"/>
          <w:numId w:val="4"/>
        </w:numPr>
        <w:pBdr>
          <w:top w:val="nil"/>
          <w:left w:val="nil"/>
          <w:bottom w:val="nil"/>
          <w:right w:val="nil"/>
          <w:between w:val="nil"/>
        </w:pBdr>
        <w:rPr>
          <w:color w:val="000000"/>
          <w:szCs w:val="24"/>
          <w:lang w:val="en-US"/>
        </w:rPr>
      </w:pPr>
      <w:r>
        <w:rPr>
          <w:b/>
          <w:bCs/>
          <w:color w:val="000000"/>
          <w:szCs w:val="24"/>
          <w:lang w:val="en-US"/>
        </w:rPr>
        <w:t>Figure 1.</w:t>
      </w:r>
      <w:r>
        <w:rPr>
          <w:color w:val="000000"/>
          <w:szCs w:val="24"/>
          <w:lang w:val="en-US"/>
        </w:rPr>
        <w:t xml:space="preserve"> Molecular basis of vitamin D signaling.</w:t>
      </w:r>
    </w:p>
    <w:p w14:paraId="7C24EB06" w14:textId="3A30E727" w:rsidR="008840D2" w:rsidRPr="008840D2" w:rsidRDefault="008840D2" w:rsidP="008840D2">
      <w:pPr>
        <w:pStyle w:val="ListParagraph"/>
        <w:numPr>
          <w:ilvl w:val="0"/>
          <w:numId w:val="4"/>
        </w:numPr>
        <w:pBdr>
          <w:top w:val="nil"/>
          <w:left w:val="nil"/>
          <w:bottom w:val="nil"/>
          <w:right w:val="nil"/>
          <w:between w:val="nil"/>
        </w:pBdr>
        <w:rPr>
          <w:color w:val="000000"/>
          <w:szCs w:val="24"/>
          <w:lang w:val="en-US"/>
        </w:rPr>
      </w:pPr>
      <w:r>
        <w:rPr>
          <w:b/>
          <w:bCs/>
          <w:szCs w:val="24"/>
          <w:lang w:val="en-US"/>
        </w:rPr>
        <w:t>Figure 2.</w:t>
      </w:r>
      <w:r>
        <w:rPr>
          <w:szCs w:val="24"/>
          <w:lang w:val="en-US"/>
        </w:rPr>
        <w:t xml:space="preserve"> Structure of 1α,25(OH)</w:t>
      </w:r>
      <w:r>
        <w:rPr>
          <w:szCs w:val="24"/>
          <w:vertAlign w:val="subscript"/>
          <w:lang w:val="en-US"/>
        </w:rPr>
        <w:t>2</w:t>
      </w:r>
      <w:r>
        <w:rPr>
          <w:szCs w:val="24"/>
          <w:lang w:val="en-US"/>
        </w:rPr>
        <w:t>D</w:t>
      </w:r>
      <w:r>
        <w:rPr>
          <w:szCs w:val="24"/>
          <w:vertAlign w:val="subscript"/>
          <w:lang w:val="en-US"/>
        </w:rPr>
        <w:t>3</w:t>
      </w:r>
      <w:r>
        <w:rPr>
          <w:szCs w:val="24"/>
          <w:lang w:val="en-US"/>
        </w:rPr>
        <w:t xml:space="preserve"> and its </w:t>
      </w:r>
      <w:r>
        <w:rPr>
          <w:color w:val="000000"/>
          <w:szCs w:val="24"/>
          <w:lang w:val="en-US"/>
        </w:rPr>
        <w:t>most prominent analogues.</w:t>
      </w:r>
    </w:p>
    <w:p w14:paraId="2F594143" w14:textId="77777777" w:rsidR="008840D2" w:rsidRPr="008840D2" w:rsidRDefault="008840D2" w:rsidP="008840D2">
      <w:pPr>
        <w:pStyle w:val="ListParagraph"/>
        <w:numPr>
          <w:ilvl w:val="0"/>
          <w:numId w:val="4"/>
        </w:numPr>
        <w:pBdr>
          <w:top w:val="nil"/>
          <w:left w:val="nil"/>
          <w:bottom w:val="nil"/>
          <w:right w:val="nil"/>
          <w:between w:val="nil"/>
        </w:pBdr>
        <w:rPr>
          <w:color w:val="000000"/>
          <w:szCs w:val="24"/>
          <w:lang w:val="en-US"/>
        </w:rPr>
      </w:pPr>
      <w:r>
        <w:rPr>
          <w:b/>
          <w:bCs/>
          <w:color w:val="000000"/>
          <w:szCs w:val="24"/>
          <w:lang w:val="en-US"/>
        </w:rPr>
        <w:t>Figure 3.</w:t>
      </w:r>
      <w:r>
        <w:rPr>
          <w:color w:val="000000"/>
          <w:szCs w:val="24"/>
          <w:lang w:val="en-US"/>
        </w:rPr>
        <w:t xml:space="preserve"> Distribution of VDR ligands across structural categories.</w:t>
      </w:r>
    </w:p>
    <w:p w14:paraId="1380EB5D" w14:textId="7DFC3670" w:rsidR="008840D2" w:rsidRPr="008840D2" w:rsidRDefault="008840D2" w:rsidP="008840D2">
      <w:pPr>
        <w:pStyle w:val="ListParagraph"/>
        <w:numPr>
          <w:ilvl w:val="0"/>
          <w:numId w:val="4"/>
        </w:numPr>
        <w:pBdr>
          <w:top w:val="nil"/>
          <w:left w:val="nil"/>
          <w:bottom w:val="nil"/>
          <w:right w:val="nil"/>
          <w:between w:val="nil"/>
        </w:pBdr>
        <w:rPr>
          <w:color w:val="000000"/>
          <w:szCs w:val="24"/>
          <w:lang w:val="en-US"/>
        </w:rPr>
      </w:pPr>
      <w:r>
        <w:rPr>
          <w:b/>
          <w:bCs/>
          <w:color w:val="000000"/>
          <w:szCs w:val="24"/>
          <w:lang w:val="en-US"/>
        </w:rPr>
        <w:t>Figure 4.</w:t>
      </w:r>
      <w:r>
        <w:rPr>
          <w:color w:val="000000"/>
          <w:szCs w:val="24"/>
          <w:lang w:val="en-US"/>
        </w:rPr>
        <w:t xml:space="preserve"> Distribution of physicochemical descriptors of VDR ligands. (a) MW, (b) TPSA, (c) Heavy Atoms, (d) </w:t>
      </w:r>
      <w:proofErr w:type="spellStart"/>
      <w:r>
        <w:rPr>
          <w:color w:val="000000"/>
          <w:szCs w:val="24"/>
          <w:lang w:val="en-US"/>
        </w:rPr>
        <w:t>LogP</w:t>
      </w:r>
      <w:proofErr w:type="spellEnd"/>
      <w:r>
        <w:rPr>
          <w:color w:val="000000"/>
          <w:szCs w:val="24"/>
          <w:lang w:val="en-US"/>
        </w:rPr>
        <w:t xml:space="preserve">, (e) HBA, (f) HBD, (g) Number of </w:t>
      </w:r>
      <w:proofErr w:type="spellStart"/>
      <w:r>
        <w:rPr>
          <w:color w:val="000000"/>
          <w:szCs w:val="24"/>
          <w:lang w:val="en-US"/>
        </w:rPr>
        <w:t>RotB</w:t>
      </w:r>
      <w:proofErr w:type="spellEnd"/>
      <w:r>
        <w:rPr>
          <w:color w:val="000000"/>
          <w:szCs w:val="24"/>
          <w:lang w:val="en-US"/>
        </w:rPr>
        <w:t>, (h) Number of rings and (</w:t>
      </w:r>
      <w:proofErr w:type="spellStart"/>
      <w:r>
        <w:rPr>
          <w:color w:val="000000"/>
          <w:szCs w:val="24"/>
          <w:lang w:val="en-US"/>
        </w:rPr>
        <w:t>i</w:t>
      </w:r>
      <w:proofErr w:type="spellEnd"/>
      <w:r>
        <w:rPr>
          <w:color w:val="000000"/>
          <w:szCs w:val="24"/>
          <w:lang w:val="en-US"/>
        </w:rPr>
        <w:t>) Number of stereo centers.</w:t>
      </w:r>
    </w:p>
    <w:p w14:paraId="3E98C8E1" w14:textId="6CE69EE0" w:rsidR="008840D2" w:rsidRPr="008840D2" w:rsidRDefault="008840D2" w:rsidP="008840D2">
      <w:pPr>
        <w:pStyle w:val="ListParagraph"/>
        <w:numPr>
          <w:ilvl w:val="0"/>
          <w:numId w:val="4"/>
        </w:numPr>
        <w:pBdr>
          <w:top w:val="nil"/>
          <w:left w:val="nil"/>
          <w:bottom w:val="nil"/>
          <w:right w:val="nil"/>
          <w:between w:val="nil"/>
        </w:pBdr>
        <w:rPr>
          <w:color w:val="000000"/>
          <w:szCs w:val="24"/>
          <w:lang w:val="en-US"/>
        </w:rPr>
      </w:pPr>
      <w:r>
        <w:rPr>
          <w:b/>
          <w:bCs/>
          <w:color w:val="000000"/>
          <w:szCs w:val="24"/>
          <w:lang w:val="en-US"/>
        </w:rPr>
        <w:t>Figure 5.</w:t>
      </w:r>
      <w:r>
        <w:rPr>
          <w:color w:val="000000"/>
          <w:szCs w:val="24"/>
          <w:lang w:val="en-US"/>
        </w:rPr>
        <w:t xml:space="preserve"> Natural product–likeness profiles of VDR ligands.</w:t>
      </w:r>
    </w:p>
    <w:p w14:paraId="0B4DF5AE" w14:textId="6FAD6CBF" w:rsidR="008840D2" w:rsidRPr="008840D2" w:rsidRDefault="008840D2" w:rsidP="008840D2">
      <w:pPr>
        <w:pStyle w:val="ListParagraph"/>
        <w:numPr>
          <w:ilvl w:val="0"/>
          <w:numId w:val="4"/>
        </w:numPr>
        <w:pBdr>
          <w:top w:val="nil"/>
          <w:left w:val="nil"/>
          <w:bottom w:val="nil"/>
          <w:right w:val="nil"/>
          <w:between w:val="nil"/>
        </w:pBdr>
        <w:rPr>
          <w:color w:val="000000"/>
          <w:szCs w:val="24"/>
          <w:lang w:val="en-US"/>
        </w:rPr>
      </w:pPr>
      <w:r>
        <w:rPr>
          <w:b/>
          <w:bCs/>
          <w:color w:val="000000"/>
          <w:szCs w:val="24"/>
          <w:lang w:val="en-US"/>
        </w:rPr>
        <w:t>Figure 6.</w:t>
      </w:r>
      <w:r>
        <w:rPr>
          <w:color w:val="000000"/>
          <w:szCs w:val="24"/>
          <w:lang w:val="en-US"/>
        </w:rPr>
        <w:t xml:space="preserve"> t-SNE projections of the chemical space of the VDR ligand library colored by category for four molecular fingerprint types: (a) ECFP4, (b) ECFP6, (c) </w:t>
      </w:r>
      <w:proofErr w:type="spellStart"/>
      <w:r>
        <w:rPr>
          <w:color w:val="000000"/>
          <w:szCs w:val="24"/>
          <w:lang w:val="en-US"/>
        </w:rPr>
        <w:t>AtomPair</w:t>
      </w:r>
      <w:proofErr w:type="spellEnd"/>
      <w:r>
        <w:rPr>
          <w:color w:val="000000"/>
          <w:szCs w:val="24"/>
          <w:lang w:val="en-US"/>
        </w:rPr>
        <w:t xml:space="preserve">, and (d) </w:t>
      </w:r>
      <w:proofErr w:type="spellStart"/>
      <w:r>
        <w:rPr>
          <w:color w:val="000000"/>
          <w:szCs w:val="24"/>
          <w:lang w:val="en-US"/>
        </w:rPr>
        <w:t>RDKit</w:t>
      </w:r>
      <w:proofErr w:type="spellEnd"/>
      <w:r>
        <w:rPr>
          <w:color w:val="000000"/>
          <w:szCs w:val="24"/>
          <w:lang w:val="en-US"/>
        </w:rPr>
        <w:t xml:space="preserve"> topological.</w:t>
      </w:r>
    </w:p>
    <w:p w14:paraId="48D6B82D" w14:textId="77777777" w:rsidR="008840D2" w:rsidRPr="008840D2" w:rsidRDefault="008840D2" w:rsidP="008840D2">
      <w:pPr>
        <w:pStyle w:val="ListParagraph"/>
        <w:numPr>
          <w:ilvl w:val="0"/>
          <w:numId w:val="4"/>
        </w:numPr>
        <w:pBdr>
          <w:top w:val="nil"/>
          <w:left w:val="nil"/>
          <w:bottom w:val="nil"/>
          <w:right w:val="nil"/>
          <w:between w:val="nil"/>
        </w:pBdr>
        <w:rPr>
          <w:color w:val="000000"/>
          <w:szCs w:val="24"/>
          <w:lang w:val="en-US"/>
        </w:rPr>
      </w:pPr>
      <w:r>
        <w:rPr>
          <w:b/>
          <w:bCs/>
          <w:color w:val="000000"/>
          <w:szCs w:val="24"/>
          <w:lang w:val="en-US"/>
        </w:rPr>
        <w:t>Figure 7.</w:t>
      </w:r>
      <w:r>
        <w:rPr>
          <w:color w:val="000000"/>
          <w:szCs w:val="24"/>
          <w:lang w:val="en-US"/>
        </w:rPr>
        <w:t xml:space="preserve"> UMAP projections of the chemical space of the VDR ligand library colored by compound category for four molecular fingerprint types: (a) ECFP4, (b) ECFP6, (c) </w:t>
      </w:r>
      <w:proofErr w:type="spellStart"/>
      <w:r>
        <w:rPr>
          <w:color w:val="000000"/>
          <w:szCs w:val="24"/>
          <w:lang w:val="en-US"/>
        </w:rPr>
        <w:t>AtomPair</w:t>
      </w:r>
      <w:proofErr w:type="spellEnd"/>
      <w:r>
        <w:rPr>
          <w:color w:val="000000"/>
          <w:szCs w:val="24"/>
          <w:lang w:val="en-US"/>
        </w:rPr>
        <w:t xml:space="preserve">, and (d) </w:t>
      </w:r>
      <w:proofErr w:type="spellStart"/>
      <w:r>
        <w:rPr>
          <w:color w:val="000000"/>
          <w:szCs w:val="24"/>
          <w:lang w:val="en-US"/>
        </w:rPr>
        <w:t>RDKit</w:t>
      </w:r>
      <w:proofErr w:type="spellEnd"/>
      <w:r>
        <w:rPr>
          <w:color w:val="000000"/>
          <w:szCs w:val="24"/>
          <w:lang w:val="en-US"/>
        </w:rPr>
        <w:t xml:space="preserve"> topological.</w:t>
      </w:r>
    </w:p>
    <w:p w14:paraId="5944A6B1" w14:textId="15A5EB91" w:rsidR="008840D2" w:rsidRPr="008840D2" w:rsidRDefault="008840D2" w:rsidP="008840D2">
      <w:pPr>
        <w:pStyle w:val="ListParagraph"/>
        <w:numPr>
          <w:ilvl w:val="0"/>
          <w:numId w:val="4"/>
        </w:numPr>
        <w:pBdr>
          <w:top w:val="nil"/>
          <w:left w:val="nil"/>
          <w:bottom w:val="nil"/>
          <w:right w:val="nil"/>
          <w:between w:val="nil"/>
        </w:pBdr>
        <w:rPr>
          <w:color w:val="000000"/>
          <w:szCs w:val="24"/>
          <w:lang w:val="en-US"/>
        </w:rPr>
      </w:pPr>
      <w:r>
        <w:rPr>
          <w:b/>
          <w:bCs/>
          <w:color w:val="000000"/>
          <w:szCs w:val="24"/>
          <w:lang w:val="en-US"/>
        </w:rPr>
        <w:t>Figure 8.</w:t>
      </w:r>
      <w:r>
        <w:rPr>
          <w:color w:val="000000"/>
          <w:szCs w:val="24"/>
          <w:lang w:val="en-US"/>
        </w:rPr>
        <w:t xml:space="preserve"> Kernel density estimation plots showing the distribution of physicochemical descriptors of VDR ligands across structural categories: (a) </w:t>
      </w:r>
      <w:proofErr w:type="spellStart"/>
      <w:r>
        <w:rPr>
          <w:color w:val="000000"/>
          <w:szCs w:val="24"/>
          <w:lang w:val="en-US"/>
        </w:rPr>
        <w:t>logP</w:t>
      </w:r>
      <w:proofErr w:type="spellEnd"/>
      <w:r>
        <w:rPr>
          <w:color w:val="000000"/>
          <w:szCs w:val="24"/>
          <w:lang w:val="en-US"/>
        </w:rPr>
        <w:t xml:space="preserve">, (b) Heavy Atoms, (c) HBA, (d) HBD, (e) MW, (f) TPSA, and (g) number of </w:t>
      </w:r>
      <w:proofErr w:type="spellStart"/>
      <w:r>
        <w:rPr>
          <w:color w:val="000000"/>
          <w:szCs w:val="24"/>
          <w:lang w:val="en-US"/>
        </w:rPr>
        <w:t>RotB</w:t>
      </w:r>
      <w:proofErr w:type="spellEnd"/>
      <w:r>
        <w:rPr>
          <w:color w:val="000000"/>
          <w:szCs w:val="24"/>
          <w:lang w:val="en-US"/>
        </w:rPr>
        <w:t>.</w:t>
      </w:r>
    </w:p>
    <w:p w14:paraId="41D0C7AE" w14:textId="3276F342" w:rsidR="009C5EB9" w:rsidRDefault="008840D2" w:rsidP="008840D2">
      <w:pPr>
        <w:pStyle w:val="ListParagraph"/>
        <w:numPr>
          <w:ilvl w:val="0"/>
          <w:numId w:val="4"/>
        </w:numPr>
        <w:pBdr>
          <w:top w:val="nil"/>
          <w:left w:val="nil"/>
          <w:bottom w:val="nil"/>
          <w:right w:val="nil"/>
          <w:between w:val="nil"/>
        </w:pBdr>
        <w:rPr>
          <w:color w:val="000000"/>
          <w:szCs w:val="24"/>
          <w:lang w:val="en-US"/>
        </w:rPr>
      </w:pPr>
      <w:r>
        <w:rPr>
          <w:b/>
          <w:bCs/>
          <w:color w:val="000000"/>
          <w:szCs w:val="24"/>
          <w:lang w:val="en-US"/>
        </w:rPr>
        <w:t>Figure 9.</w:t>
      </w:r>
      <w:r>
        <w:rPr>
          <w:color w:val="000000"/>
          <w:szCs w:val="24"/>
          <w:lang w:val="en-US"/>
        </w:rPr>
        <w:t xml:space="preserve"> Distribution of physicochemical descriptors across structural categories of the VDR ligand library, presented as boxplots. (a) </w:t>
      </w:r>
      <w:proofErr w:type="spellStart"/>
      <w:r>
        <w:rPr>
          <w:color w:val="000000"/>
          <w:szCs w:val="24"/>
          <w:lang w:val="en-US"/>
        </w:rPr>
        <w:t>logP</w:t>
      </w:r>
      <w:proofErr w:type="spellEnd"/>
      <w:r>
        <w:rPr>
          <w:color w:val="000000"/>
          <w:szCs w:val="24"/>
          <w:lang w:val="en-US"/>
        </w:rPr>
        <w:t xml:space="preserve">, (b) Heavy Atoms, (c) HBA, (d) HBD, (e) MW, (f) TPSA, and (g) number of </w:t>
      </w:r>
      <w:proofErr w:type="spellStart"/>
      <w:r>
        <w:rPr>
          <w:color w:val="000000"/>
          <w:szCs w:val="24"/>
          <w:lang w:val="en-US"/>
        </w:rPr>
        <w:t>RotB</w:t>
      </w:r>
      <w:proofErr w:type="spellEnd"/>
      <w:r>
        <w:rPr>
          <w:color w:val="000000"/>
          <w:szCs w:val="24"/>
          <w:lang w:val="en-US"/>
        </w:rPr>
        <w:t>.</w:t>
      </w:r>
    </w:p>
    <w:p w14:paraId="185EE7BF" w14:textId="77777777" w:rsidR="009C5EB9" w:rsidRDefault="009C5EB9">
      <w:pPr>
        <w:spacing w:line="240" w:lineRule="auto"/>
        <w:jc w:val="left"/>
        <w:rPr>
          <w:color w:val="000000"/>
          <w:szCs w:val="24"/>
          <w:lang w:val="en-US"/>
        </w:rPr>
      </w:pPr>
      <w:r>
        <w:rPr>
          <w:color w:val="000000"/>
          <w:szCs w:val="24"/>
          <w:lang w:val="en-US"/>
        </w:rPr>
        <w:br w:type="page"/>
      </w:r>
    </w:p>
    <w:p w14:paraId="23CD2A95" w14:textId="77777777" w:rsidR="008840D2" w:rsidRDefault="009C5EB9" w:rsidP="00E90946">
      <w:pPr>
        <w:pStyle w:val="Heading1"/>
        <w:jc w:val="center"/>
        <w:rPr>
          <w:szCs w:val="24"/>
        </w:rPr>
      </w:pPr>
      <w:bookmarkStart w:id="9" w:name="_Toc227014975"/>
      <w:r>
        <w:lastRenderedPageBreak/>
        <w:t>ABBREVIATIONS</w:t>
      </w:r>
      <w:bookmarkEnd w:id="9"/>
    </w:p>
    <w:p w14:paraId="199430B5" w14:textId="77777777" w:rsidR="009C5EB9" w:rsidRDefault="009C5EB9" w:rsidP="009C5EB9">
      <w:pPr>
        <w:pBdr>
          <w:top w:val="nil"/>
          <w:left w:val="nil"/>
          <w:bottom w:val="nil"/>
          <w:right w:val="nil"/>
          <w:between w:val="nil"/>
        </w:pBdr>
        <w:jc w:val="center"/>
        <w:rPr>
          <w:b/>
          <w:bCs/>
          <w:color w:val="000000"/>
          <w:szCs w:val="24"/>
        </w:rPr>
      </w:pPr>
    </w:p>
    <w:tbl>
      <w:tblPr>
        <w:tblStyle w:val="TableGrid"/>
        <w:tblW w:w="85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5528"/>
      </w:tblGrid>
      <w:tr w:rsidR="00FC5DD8" w14:paraId="455C5845" w14:textId="77777777" w:rsidTr="00FC5DD8">
        <w:tc>
          <w:tcPr>
            <w:tcW w:w="2972" w:type="dxa"/>
            <w:vAlign w:val="center"/>
          </w:tcPr>
          <w:p w14:paraId="14714F3A" w14:textId="164D8BC8" w:rsidR="00FC5DD8" w:rsidRDefault="00FC5DD8" w:rsidP="00FC5DD8">
            <w:pPr>
              <w:ind w:right="-250"/>
              <w:rPr>
                <w:color w:val="000000"/>
                <w:szCs w:val="24"/>
                <w:lang w:val="ru-RU"/>
              </w:rPr>
            </w:pPr>
            <w:r>
              <w:t>ARI</w:t>
            </w:r>
          </w:p>
        </w:tc>
        <w:tc>
          <w:tcPr>
            <w:tcW w:w="5528" w:type="dxa"/>
            <w:vAlign w:val="center"/>
          </w:tcPr>
          <w:p w14:paraId="59F92063" w14:textId="37F83506" w:rsidR="00FC5DD8" w:rsidRDefault="00FC5DD8" w:rsidP="00FC5DD8">
            <w:pPr>
              <w:ind w:right="-250"/>
              <w:rPr>
                <w:color w:val="000000"/>
                <w:szCs w:val="24"/>
                <w:lang w:val="ru-RU"/>
              </w:rPr>
            </w:pPr>
            <w:r>
              <w:t>Adjusted Rand Index</w:t>
            </w:r>
          </w:p>
        </w:tc>
      </w:tr>
      <w:tr w:rsidR="00FC5DD8" w14:paraId="32CD218A" w14:textId="77777777" w:rsidTr="00FC5DD8">
        <w:tc>
          <w:tcPr>
            <w:tcW w:w="2972" w:type="dxa"/>
            <w:vAlign w:val="center"/>
          </w:tcPr>
          <w:p w14:paraId="02B334E6" w14:textId="4816F7F4" w:rsidR="00FC5DD8" w:rsidRDefault="00FC5DD8" w:rsidP="00FC5DD8">
            <w:pPr>
              <w:ind w:right="-250"/>
              <w:rPr>
                <w:color w:val="000000"/>
                <w:szCs w:val="24"/>
                <w:lang w:val="ru-RU"/>
              </w:rPr>
            </w:pPr>
            <w:r>
              <w:t>DBD</w:t>
            </w:r>
          </w:p>
        </w:tc>
        <w:tc>
          <w:tcPr>
            <w:tcW w:w="5528" w:type="dxa"/>
            <w:vAlign w:val="center"/>
          </w:tcPr>
          <w:p w14:paraId="30010943" w14:textId="34331E23" w:rsidR="00FC5DD8" w:rsidRDefault="00FC5DD8" w:rsidP="00FC5DD8">
            <w:pPr>
              <w:ind w:right="-250"/>
              <w:rPr>
                <w:color w:val="000000"/>
                <w:szCs w:val="24"/>
                <w:lang w:val="ru-RU"/>
              </w:rPr>
            </w:pPr>
            <w:r>
              <w:t>DNA-binding domain</w:t>
            </w:r>
          </w:p>
        </w:tc>
      </w:tr>
      <w:tr w:rsidR="00FC5DD8" w14:paraId="234E0141" w14:textId="77777777" w:rsidTr="00FC5DD8">
        <w:tc>
          <w:tcPr>
            <w:tcW w:w="2972" w:type="dxa"/>
            <w:vAlign w:val="center"/>
          </w:tcPr>
          <w:p w14:paraId="028C7F95" w14:textId="2817FE08" w:rsidR="00FC5DD8" w:rsidRDefault="00FC5DD8" w:rsidP="00FC5DD8">
            <w:pPr>
              <w:ind w:right="-250"/>
              <w:rPr>
                <w:color w:val="000000"/>
                <w:szCs w:val="24"/>
                <w:lang w:val="ru-RU"/>
              </w:rPr>
            </w:pPr>
            <w:r>
              <w:t>ECFP</w:t>
            </w:r>
          </w:p>
        </w:tc>
        <w:tc>
          <w:tcPr>
            <w:tcW w:w="5528" w:type="dxa"/>
            <w:vAlign w:val="center"/>
          </w:tcPr>
          <w:p w14:paraId="63071F70" w14:textId="3B79402A" w:rsidR="00FC5DD8" w:rsidRDefault="00FC5DD8" w:rsidP="00FC5DD8">
            <w:pPr>
              <w:ind w:right="-250"/>
              <w:rPr>
                <w:color w:val="000000"/>
                <w:szCs w:val="24"/>
                <w:lang w:val="ru-RU"/>
              </w:rPr>
            </w:pPr>
            <w:r>
              <w:t>Extended Connectivity Fingerprint</w:t>
            </w:r>
          </w:p>
        </w:tc>
      </w:tr>
      <w:tr w:rsidR="00FC5DD8" w14:paraId="670616B2" w14:textId="77777777" w:rsidTr="00FC5DD8">
        <w:tc>
          <w:tcPr>
            <w:tcW w:w="2972" w:type="dxa"/>
            <w:vAlign w:val="center"/>
          </w:tcPr>
          <w:p w14:paraId="0292E4DF" w14:textId="359F5B22" w:rsidR="00FC5DD8" w:rsidRDefault="00FC5DD8" w:rsidP="00FC5DD8">
            <w:pPr>
              <w:ind w:right="-250"/>
              <w:rPr>
                <w:color w:val="000000"/>
                <w:szCs w:val="24"/>
                <w:lang w:val="ru-RU"/>
              </w:rPr>
            </w:pPr>
            <w:r>
              <w:t>HBA</w:t>
            </w:r>
          </w:p>
        </w:tc>
        <w:tc>
          <w:tcPr>
            <w:tcW w:w="5528" w:type="dxa"/>
            <w:vAlign w:val="center"/>
          </w:tcPr>
          <w:p w14:paraId="5862F2B6" w14:textId="369D082A" w:rsidR="00FC5DD8" w:rsidRDefault="00FC5DD8" w:rsidP="00FC5DD8">
            <w:pPr>
              <w:ind w:right="-250"/>
              <w:rPr>
                <w:color w:val="000000"/>
                <w:szCs w:val="24"/>
                <w:lang w:val="ru-RU"/>
              </w:rPr>
            </w:pPr>
            <w:r>
              <w:t>Hydrogen bond acceptors</w:t>
            </w:r>
          </w:p>
        </w:tc>
      </w:tr>
      <w:tr w:rsidR="00FC5DD8" w14:paraId="31201471" w14:textId="77777777" w:rsidTr="00FC5DD8">
        <w:tc>
          <w:tcPr>
            <w:tcW w:w="2972" w:type="dxa"/>
            <w:vAlign w:val="center"/>
          </w:tcPr>
          <w:p w14:paraId="6FA18EB1" w14:textId="3DB05F0C" w:rsidR="00FC5DD8" w:rsidRDefault="00FC5DD8" w:rsidP="00FC5DD8">
            <w:pPr>
              <w:ind w:right="-250"/>
              <w:rPr>
                <w:color w:val="000000"/>
                <w:szCs w:val="24"/>
                <w:lang w:val="ru-RU"/>
              </w:rPr>
            </w:pPr>
            <w:r>
              <w:t>HBD</w:t>
            </w:r>
          </w:p>
        </w:tc>
        <w:tc>
          <w:tcPr>
            <w:tcW w:w="5528" w:type="dxa"/>
            <w:vAlign w:val="center"/>
          </w:tcPr>
          <w:p w14:paraId="23EC08F3" w14:textId="786F57A4" w:rsidR="00FC5DD8" w:rsidRDefault="00FC5DD8" w:rsidP="00FC5DD8">
            <w:pPr>
              <w:ind w:right="-250"/>
              <w:rPr>
                <w:color w:val="000000"/>
                <w:szCs w:val="24"/>
                <w:lang w:val="ru-RU"/>
              </w:rPr>
            </w:pPr>
            <w:r>
              <w:t>Hydrogen bond donors</w:t>
            </w:r>
          </w:p>
        </w:tc>
      </w:tr>
      <w:tr w:rsidR="00FC5DD8" w14:paraId="5268B29D" w14:textId="77777777" w:rsidTr="00FC5DD8">
        <w:tc>
          <w:tcPr>
            <w:tcW w:w="2972" w:type="dxa"/>
            <w:vAlign w:val="center"/>
          </w:tcPr>
          <w:p w14:paraId="7510623C" w14:textId="1F330309" w:rsidR="00FC5DD8" w:rsidRDefault="00FC5DD8" w:rsidP="00FC5DD8">
            <w:pPr>
              <w:ind w:right="-250"/>
              <w:rPr>
                <w:color w:val="000000"/>
                <w:szCs w:val="24"/>
                <w:lang w:val="ru-RU"/>
              </w:rPr>
            </w:pPr>
            <w:r>
              <w:t>InChI</w:t>
            </w:r>
          </w:p>
        </w:tc>
        <w:tc>
          <w:tcPr>
            <w:tcW w:w="5528" w:type="dxa"/>
            <w:vAlign w:val="center"/>
          </w:tcPr>
          <w:p w14:paraId="10958053" w14:textId="03082699" w:rsidR="00FC5DD8" w:rsidRDefault="00FC5DD8" w:rsidP="00FC5DD8">
            <w:pPr>
              <w:ind w:right="-250"/>
              <w:rPr>
                <w:color w:val="000000"/>
                <w:szCs w:val="24"/>
                <w:lang w:val="ru-RU"/>
              </w:rPr>
            </w:pPr>
            <w:r>
              <w:t>International Chemical Identifier</w:t>
            </w:r>
          </w:p>
        </w:tc>
      </w:tr>
      <w:tr w:rsidR="00FC5DD8" w14:paraId="6EA35A64" w14:textId="77777777" w:rsidTr="00FC5DD8">
        <w:tc>
          <w:tcPr>
            <w:tcW w:w="2972" w:type="dxa"/>
            <w:vAlign w:val="center"/>
          </w:tcPr>
          <w:p w14:paraId="5E1B8412" w14:textId="6ABD6324" w:rsidR="00FC5DD8" w:rsidRDefault="00FC5DD8" w:rsidP="00FC5DD8">
            <w:pPr>
              <w:ind w:right="-250"/>
              <w:rPr>
                <w:color w:val="000000"/>
                <w:szCs w:val="24"/>
                <w:lang w:val="ru-RU"/>
              </w:rPr>
            </w:pPr>
            <w:r>
              <w:t>KDE</w:t>
            </w:r>
          </w:p>
        </w:tc>
        <w:tc>
          <w:tcPr>
            <w:tcW w:w="5528" w:type="dxa"/>
            <w:vAlign w:val="center"/>
          </w:tcPr>
          <w:p w14:paraId="60A680AD" w14:textId="560AF1FD" w:rsidR="00FC5DD8" w:rsidRDefault="00FC5DD8" w:rsidP="00FC5DD8">
            <w:pPr>
              <w:ind w:right="-250"/>
              <w:rPr>
                <w:color w:val="000000"/>
                <w:szCs w:val="24"/>
                <w:lang w:val="ru-RU"/>
              </w:rPr>
            </w:pPr>
            <w:r>
              <w:t>Kernel density estimation</w:t>
            </w:r>
          </w:p>
        </w:tc>
      </w:tr>
      <w:tr w:rsidR="00FC5DD8" w14:paraId="02F9ED1B" w14:textId="77777777" w:rsidTr="00FC5DD8">
        <w:tc>
          <w:tcPr>
            <w:tcW w:w="2972" w:type="dxa"/>
            <w:vAlign w:val="center"/>
          </w:tcPr>
          <w:p w14:paraId="41518BDE" w14:textId="2904250A" w:rsidR="00FC5DD8" w:rsidRDefault="00FC5DD8" w:rsidP="00FC5DD8">
            <w:pPr>
              <w:ind w:right="-250"/>
              <w:rPr>
                <w:color w:val="000000"/>
                <w:szCs w:val="24"/>
                <w:lang w:val="ru-RU"/>
              </w:rPr>
            </w:pPr>
            <w:r>
              <w:t>LBD</w:t>
            </w:r>
          </w:p>
        </w:tc>
        <w:tc>
          <w:tcPr>
            <w:tcW w:w="5528" w:type="dxa"/>
            <w:vAlign w:val="center"/>
          </w:tcPr>
          <w:p w14:paraId="706F9026" w14:textId="5A330A2E" w:rsidR="00FC5DD8" w:rsidRDefault="00FC5DD8" w:rsidP="00FC5DD8">
            <w:pPr>
              <w:ind w:right="-250"/>
              <w:rPr>
                <w:color w:val="000000"/>
                <w:szCs w:val="24"/>
                <w:lang w:val="ru-RU"/>
              </w:rPr>
            </w:pPr>
            <w:r>
              <w:t>Ligand-binding domain</w:t>
            </w:r>
          </w:p>
        </w:tc>
      </w:tr>
      <w:tr w:rsidR="00FC5DD8" w14:paraId="56199F4C" w14:textId="77777777" w:rsidTr="00FC5DD8">
        <w:tc>
          <w:tcPr>
            <w:tcW w:w="2972" w:type="dxa"/>
            <w:vAlign w:val="center"/>
          </w:tcPr>
          <w:p w14:paraId="3343CB37" w14:textId="61076462" w:rsidR="00FC5DD8" w:rsidRDefault="00FC5DD8" w:rsidP="00FC5DD8">
            <w:pPr>
              <w:ind w:right="-250"/>
              <w:rPr>
                <w:color w:val="000000"/>
                <w:szCs w:val="24"/>
                <w:lang w:val="ru-RU"/>
              </w:rPr>
            </w:pPr>
            <w:proofErr w:type="spellStart"/>
            <w:r>
              <w:t>LogP</w:t>
            </w:r>
            <w:proofErr w:type="spellEnd"/>
          </w:p>
        </w:tc>
        <w:tc>
          <w:tcPr>
            <w:tcW w:w="5528" w:type="dxa"/>
            <w:vAlign w:val="center"/>
          </w:tcPr>
          <w:p w14:paraId="4AD7DBD7" w14:textId="7718A6AF" w:rsidR="00FC5DD8" w:rsidRDefault="00FC5DD8" w:rsidP="00FC5DD8">
            <w:pPr>
              <w:ind w:right="-250"/>
              <w:rPr>
                <w:color w:val="000000"/>
                <w:szCs w:val="24"/>
                <w:lang w:val="ru-RU"/>
              </w:rPr>
            </w:pPr>
            <w:r>
              <w:t>Lipophilicity coefficient</w:t>
            </w:r>
          </w:p>
        </w:tc>
      </w:tr>
      <w:tr w:rsidR="00FC5DD8" w14:paraId="2414F63D" w14:textId="77777777" w:rsidTr="00FC5DD8">
        <w:tc>
          <w:tcPr>
            <w:tcW w:w="2972" w:type="dxa"/>
            <w:vAlign w:val="center"/>
          </w:tcPr>
          <w:p w14:paraId="19BE22C2" w14:textId="2DA54EB6" w:rsidR="00FC5DD8" w:rsidRDefault="00FC5DD8" w:rsidP="00FC5DD8">
            <w:pPr>
              <w:ind w:right="-250"/>
              <w:rPr>
                <w:color w:val="000000"/>
                <w:szCs w:val="24"/>
                <w:lang w:val="ru-RU"/>
              </w:rPr>
            </w:pPr>
            <w:r>
              <w:t>MW</w:t>
            </w:r>
          </w:p>
        </w:tc>
        <w:tc>
          <w:tcPr>
            <w:tcW w:w="5528" w:type="dxa"/>
            <w:vAlign w:val="center"/>
          </w:tcPr>
          <w:p w14:paraId="2E483B3A" w14:textId="779C1B0D" w:rsidR="00FC5DD8" w:rsidRDefault="00FC5DD8" w:rsidP="00FC5DD8">
            <w:pPr>
              <w:ind w:right="-250"/>
              <w:rPr>
                <w:color w:val="000000"/>
                <w:szCs w:val="24"/>
                <w:lang w:val="ru-RU"/>
              </w:rPr>
            </w:pPr>
            <w:r>
              <w:t>Molecular weight</w:t>
            </w:r>
          </w:p>
        </w:tc>
      </w:tr>
      <w:tr w:rsidR="00FC5DD8" w14:paraId="4E849CA3" w14:textId="77777777" w:rsidTr="00FC5DD8">
        <w:tc>
          <w:tcPr>
            <w:tcW w:w="2972" w:type="dxa"/>
            <w:vAlign w:val="center"/>
          </w:tcPr>
          <w:p w14:paraId="65376B37" w14:textId="00F5BE3A" w:rsidR="00FC5DD8" w:rsidRDefault="00FC5DD8" w:rsidP="00FC5DD8">
            <w:pPr>
              <w:ind w:right="-250"/>
              <w:rPr>
                <w:color w:val="000000"/>
                <w:szCs w:val="24"/>
                <w:lang w:val="ru-RU"/>
              </w:rPr>
            </w:pPr>
            <w:r>
              <w:t>NMI</w:t>
            </w:r>
          </w:p>
        </w:tc>
        <w:tc>
          <w:tcPr>
            <w:tcW w:w="5528" w:type="dxa"/>
            <w:vAlign w:val="center"/>
          </w:tcPr>
          <w:p w14:paraId="1A190FEC" w14:textId="6E8F5F74" w:rsidR="00FC5DD8" w:rsidRDefault="00FC5DD8" w:rsidP="00FC5DD8">
            <w:pPr>
              <w:ind w:right="-250"/>
              <w:rPr>
                <w:color w:val="000000"/>
                <w:szCs w:val="24"/>
                <w:lang w:val="ru-RU"/>
              </w:rPr>
            </w:pPr>
            <w:r>
              <w:t>Normalized Mutual Information</w:t>
            </w:r>
          </w:p>
        </w:tc>
      </w:tr>
      <w:tr w:rsidR="00FC5DD8" w14:paraId="1FF68341" w14:textId="77777777" w:rsidTr="00FC5DD8">
        <w:tc>
          <w:tcPr>
            <w:tcW w:w="2972" w:type="dxa"/>
            <w:vAlign w:val="center"/>
          </w:tcPr>
          <w:p w14:paraId="1950C13A" w14:textId="0D4DE1AD" w:rsidR="00FC5DD8" w:rsidRDefault="00FC5DD8" w:rsidP="00FC5DD8">
            <w:pPr>
              <w:ind w:right="-250"/>
              <w:rPr>
                <w:color w:val="000000"/>
                <w:szCs w:val="24"/>
                <w:lang w:val="ru-RU"/>
              </w:rPr>
            </w:pPr>
            <w:r>
              <w:t>NP-likeness</w:t>
            </w:r>
          </w:p>
        </w:tc>
        <w:tc>
          <w:tcPr>
            <w:tcW w:w="5528" w:type="dxa"/>
            <w:vAlign w:val="center"/>
          </w:tcPr>
          <w:p w14:paraId="4A1197B9" w14:textId="021F017F" w:rsidR="00FC5DD8" w:rsidRDefault="00FC5DD8" w:rsidP="00FC5DD8">
            <w:pPr>
              <w:ind w:right="-250"/>
              <w:rPr>
                <w:color w:val="000000"/>
                <w:szCs w:val="24"/>
                <w:lang w:val="ru-RU"/>
              </w:rPr>
            </w:pPr>
            <w:r>
              <w:t>Natural product-likeness</w:t>
            </w:r>
          </w:p>
        </w:tc>
      </w:tr>
      <w:tr w:rsidR="00FC5DD8" w14:paraId="1619DE51" w14:textId="77777777" w:rsidTr="00FC5DD8">
        <w:tc>
          <w:tcPr>
            <w:tcW w:w="2972" w:type="dxa"/>
            <w:vAlign w:val="center"/>
          </w:tcPr>
          <w:p w14:paraId="1B519CBA" w14:textId="0537FE6A" w:rsidR="00FC5DD8" w:rsidRDefault="00FC5DD8" w:rsidP="00FC5DD8">
            <w:pPr>
              <w:ind w:right="-250"/>
              <w:rPr>
                <w:color w:val="000000"/>
                <w:szCs w:val="24"/>
                <w:lang w:val="ru-RU"/>
              </w:rPr>
            </w:pPr>
            <w:r>
              <w:t>PCA</w:t>
            </w:r>
          </w:p>
        </w:tc>
        <w:tc>
          <w:tcPr>
            <w:tcW w:w="5528" w:type="dxa"/>
            <w:vAlign w:val="center"/>
          </w:tcPr>
          <w:p w14:paraId="24F6409F" w14:textId="2611148C" w:rsidR="00FC5DD8" w:rsidRDefault="00FC5DD8" w:rsidP="00FC5DD8">
            <w:pPr>
              <w:ind w:right="-250"/>
              <w:rPr>
                <w:color w:val="000000"/>
                <w:szCs w:val="24"/>
                <w:lang w:val="ru-RU"/>
              </w:rPr>
            </w:pPr>
            <w:r>
              <w:t>Principal component analysis</w:t>
            </w:r>
          </w:p>
        </w:tc>
      </w:tr>
      <w:tr w:rsidR="00FC5DD8" w14:paraId="6D18D7DE" w14:textId="77777777" w:rsidTr="00FC5DD8">
        <w:tc>
          <w:tcPr>
            <w:tcW w:w="2972" w:type="dxa"/>
            <w:vAlign w:val="center"/>
          </w:tcPr>
          <w:p w14:paraId="277AEA7B" w14:textId="0EA20646" w:rsidR="00FC5DD8" w:rsidRDefault="00FC5DD8" w:rsidP="00FC5DD8">
            <w:pPr>
              <w:ind w:right="-250"/>
              <w:rPr>
                <w:color w:val="000000"/>
                <w:szCs w:val="24"/>
                <w:lang w:val="ru-RU"/>
              </w:rPr>
            </w:pPr>
            <w:r>
              <w:t>RXR</w:t>
            </w:r>
          </w:p>
        </w:tc>
        <w:tc>
          <w:tcPr>
            <w:tcW w:w="5528" w:type="dxa"/>
            <w:vAlign w:val="center"/>
          </w:tcPr>
          <w:p w14:paraId="31824188" w14:textId="6D690F6B" w:rsidR="00FC5DD8" w:rsidRDefault="00FC5DD8" w:rsidP="00FC5DD8">
            <w:pPr>
              <w:ind w:right="-250"/>
              <w:rPr>
                <w:color w:val="000000"/>
                <w:szCs w:val="24"/>
                <w:lang w:val="ru-RU"/>
              </w:rPr>
            </w:pPr>
            <w:r>
              <w:t>Retinoid X receptor</w:t>
            </w:r>
          </w:p>
        </w:tc>
      </w:tr>
      <w:tr w:rsidR="00FC5DD8" w14:paraId="4F9EC88B" w14:textId="77777777" w:rsidTr="00FC5DD8">
        <w:tc>
          <w:tcPr>
            <w:tcW w:w="2972" w:type="dxa"/>
            <w:vAlign w:val="center"/>
          </w:tcPr>
          <w:p w14:paraId="7F75C8D1" w14:textId="7794D0A4" w:rsidR="00FC5DD8" w:rsidRDefault="00FC5DD8" w:rsidP="00FC5DD8">
            <w:pPr>
              <w:ind w:right="-250"/>
              <w:rPr>
                <w:color w:val="000000"/>
                <w:szCs w:val="24"/>
                <w:lang w:val="ru-RU"/>
              </w:rPr>
            </w:pPr>
            <w:r>
              <w:t>SMILES</w:t>
            </w:r>
          </w:p>
        </w:tc>
        <w:tc>
          <w:tcPr>
            <w:tcW w:w="5528" w:type="dxa"/>
            <w:vAlign w:val="center"/>
          </w:tcPr>
          <w:p w14:paraId="64A601C5" w14:textId="23152AAD" w:rsidR="00FC5DD8" w:rsidRPr="00666416" w:rsidRDefault="00FC5DD8" w:rsidP="00FC5DD8">
            <w:pPr>
              <w:ind w:right="-250"/>
              <w:rPr>
                <w:color w:val="000000"/>
                <w:szCs w:val="24"/>
                <w:lang w:val="en-US"/>
              </w:rPr>
            </w:pPr>
            <w:r>
              <w:t>Simplified Molecular Input Line Entry System</w:t>
            </w:r>
          </w:p>
        </w:tc>
      </w:tr>
      <w:tr w:rsidR="00FC5DD8" w14:paraId="4043156E" w14:textId="77777777" w:rsidTr="00FC5DD8">
        <w:tc>
          <w:tcPr>
            <w:tcW w:w="2972" w:type="dxa"/>
            <w:vAlign w:val="center"/>
          </w:tcPr>
          <w:p w14:paraId="768F3423" w14:textId="7E12F580" w:rsidR="00FC5DD8" w:rsidRDefault="00FC5DD8" w:rsidP="00FC5DD8">
            <w:pPr>
              <w:ind w:right="-250"/>
              <w:rPr>
                <w:color w:val="000000"/>
                <w:szCs w:val="24"/>
                <w:lang w:val="ru-RU"/>
              </w:rPr>
            </w:pPr>
            <w:r>
              <w:t>TPSA</w:t>
            </w:r>
          </w:p>
        </w:tc>
        <w:tc>
          <w:tcPr>
            <w:tcW w:w="5528" w:type="dxa"/>
            <w:vAlign w:val="center"/>
          </w:tcPr>
          <w:p w14:paraId="6ED0185A" w14:textId="0B89D169" w:rsidR="00FC5DD8" w:rsidRDefault="00FC5DD8" w:rsidP="00FC5DD8">
            <w:pPr>
              <w:ind w:right="-250"/>
              <w:rPr>
                <w:color w:val="000000"/>
                <w:szCs w:val="24"/>
                <w:lang w:val="ru-RU"/>
              </w:rPr>
            </w:pPr>
            <w:r>
              <w:t>Topological polar surface area</w:t>
            </w:r>
          </w:p>
        </w:tc>
      </w:tr>
      <w:tr w:rsidR="00FC5DD8" w14:paraId="11B89D27" w14:textId="77777777" w:rsidTr="00FC5DD8">
        <w:tc>
          <w:tcPr>
            <w:tcW w:w="2972" w:type="dxa"/>
            <w:vAlign w:val="center"/>
          </w:tcPr>
          <w:p w14:paraId="5DA07314" w14:textId="05166B35" w:rsidR="00FC5DD8" w:rsidRDefault="00FC5DD8" w:rsidP="00FC5DD8">
            <w:pPr>
              <w:ind w:right="-250"/>
              <w:rPr>
                <w:color w:val="000000"/>
                <w:szCs w:val="24"/>
                <w:lang w:val="ru-RU"/>
              </w:rPr>
            </w:pPr>
            <w:r>
              <w:t>t-SNE</w:t>
            </w:r>
          </w:p>
        </w:tc>
        <w:tc>
          <w:tcPr>
            <w:tcW w:w="5528" w:type="dxa"/>
            <w:vAlign w:val="center"/>
          </w:tcPr>
          <w:p w14:paraId="6F6BB2D6" w14:textId="481B72DF" w:rsidR="00FC5DD8" w:rsidRPr="00666416" w:rsidRDefault="00FC5DD8" w:rsidP="00FC5DD8">
            <w:pPr>
              <w:ind w:right="-250"/>
              <w:rPr>
                <w:color w:val="000000"/>
                <w:szCs w:val="24"/>
                <w:lang w:val="en-US"/>
              </w:rPr>
            </w:pPr>
            <w:r>
              <w:t>t-distributed stochastic neighbor embedding</w:t>
            </w:r>
          </w:p>
        </w:tc>
      </w:tr>
      <w:tr w:rsidR="00FC5DD8" w14:paraId="6DF9271E" w14:textId="77777777" w:rsidTr="00FC5DD8">
        <w:tc>
          <w:tcPr>
            <w:tcW w:w="2972" w:type="dxa"/>
            <w:vAlign w:val="center"/>
          </w:tcPr>
          <w:p w14:paraId="0BD78C63" w14:textId="6012ABB4" w:rsidR="00FC5DD8" w:rsidRDefault="00FC5DD8" w:rsidP="00FC5DD8">
            <w:pPr>
              <w:ind w:right="-250"/>
              <w:rPr>
                <w:color w:val="000000"/>
                <w:szCs w:val="24"/>
                <w:lang w:val="ru-RU"/>
              </w:rPr>
            </w:pPr>
            <w:r>
              <w:t>UMAP</w:t>
            </w:r>
          </w:p>
        </w:tc>
        <w:tc>
          <w:tcPr>
            <w:tcW w:w="5528" w:type="dxa"/>
            <w:vAlign w:val="center"/>
          </w:tcPr>
          <w:p w14:paraId="67316B95" w14:textId="4751F84C" w:rsidR="00FC5DD8" w:rsidRPr="00666416" w:rsidRDefault="00FC5DD8" w:rsidP="00FC5DD8">
            <w:pPr>
              <w:ind w:right="-250"/>
              <w:rPr>
                <w:color w:val="000000"/>
                <w:szCs w:val="24"/>
                <w:lang w:val="en-US"/>
              </w:rPr>
            </w:pPr>
            <w:r>
              <w:t>Uniform Manifold Approximation and Projection</w:t>
            </w:r>
          </w:p>
        </w:tc>
      </w:tr>
      <w:tr w:rsidR="00FC5DD8" w14:paraId="6BEF8F2D" w14:textId="77777777" w:rsidTr="00FC5DD8">
        <w:tc>
          <w:tcPr>
            <w:tcW w:w="2972" w:type="dxa"/>
            <w:vAlign w:val="center"/>
          </w:tcPr>
          <w:p w14:paraId="0409A38F" w14:textId="2EAF68A2" w:rsidR="00FC5DD8" w:rsidRDefault="00FC5DD8" w:rsidP="00FC5DD8">
            <w:pPr>
              <w:ind w:right="-250"/>
              <w:rPr>
                <w:color w:val="000000"/>
                <w:szCs w:val="24"/>
                <w:lang w:val="ru-RU"/>
              </w:rPr>
            </w:pPr>
            <w:r>
              <w:t>UV-B</w:t>
            </w:r>
          </w:p>
        </w:tc>
        <w:tc>
          <w:tcPr>
            <w:tcW w:w="5528" w:type="dxa"/>
            <w:vAlign w:val="center"/>
          </w:tcPr>
          <w:p w14:paraId="00D44F37" w14:textId="7E37BF56" w:rsidR="00FC5DD8" w:rsidRDefault="00FC5DD8" w:rsidP="00FC5DD8">
            <w:pPr>
              <w:ind w:right="-250"/>
              <w:rPr>
                <w:color w:val="000000"/>
                <w:szCs w:val="24"/>
                <w:lang w:val="ru-RU"/>
              </w:rPr>
            </w:pPr>
            <w:r>
              <w:t>Ultraviolet B radiation</w:t>
            </w:r>
          </w:p>
        </w:tc>
      </w:tr>
      <w:tr w:rsidR="00FC5DD8" w14:paraId="078067E1" w14:textId="77777777" w:rsidTr="00FC5DD8">
        <w:tc>
          <w:tcPr>
            <w:tcW w:w="2972" w:type="dxa"/>
            <w:vAlign w:val="center"/>
          </w:tcPr>
          <w:p w14:paraId="45101D40" w14:textId="35CB6F2D" w:rsidR="00FC5DD8" w:rsidRDefault="00FC5DD8" w:rsidP="00FC5DD8">
            <w:pPr>
              <w:ind w:right="-250"/>
              <w:rPr>
                <w:color w:val="000000"/>
                <w:szCs w:val="24"/>
                <w:lang w:val="ru-RU"/>
              </w:rPr>
            </w:pPr>
            <w:r>
              <w:t>VDR</w:t>
            </w:r>
          </w:p>
        </w:tc>
        <w:tc>
          <w:tcPr>
            <w:tcW w:w="5528" w:type="dxa"/>
            <w:vAlign w:val="center"/>
          </w:tcPr>
          <w:p w14:paraId="163EEFC0" w14:textId="119B30B0" w:rsidR="00FC5DD8" w:rsidRDefault="00FC5DD8" w:rsidP="00FC5DD8">
            <w:pPr>
              <w:ind w:right="-250"/>
              <w:rPr>
                <w:color w:val="000000"/>
                <w:szCs w:val="24"/>
                <w:lang w:val="ru-RU"/>
              </w:rPr>
            </w:pPr>
            <w:r>
              <w:t>Vitamin D receptor</w:t>
            </w:r>
          </w:p>
        </w:tc>
      </w:tr>
      <w:tr w:rsidR="00FC5DD8" w14:paraId="0C1A3627" w14:textId="77777777" w:rsidTr="00FC5DD8">
        <w:tc>
          <w:tcPr>
            <w:tcW w:w="2972" w:type="dxa"/>
            <w:vAlign w:val="center"/>
          </w:tcPr>
          <w:p w14:paraId="4FDC7BF3" w14:textId="1991B50D" w:rsidR="00FC5DD8" w:rsidRDefault="00FC5DD8" w:rsidP="00FC5DD8">
            <w:pPr>
              <w:ind w:right="-250"/>
              <w:rPr>
                <w:color w:val="000000"/>
                <w:szCs w:val="24"/>
                <w:lang w:val="ru-RU"/>
              </w:rPr>
            </w:pPr>
            <w:r>
              <w:t>VDREs</w:t>
            </w:r>
          </w:p>
        </w:tc>
        <w:tc>
          <w:tcPr>
            <w:tcW w:w="5528" w:type="dxa"/>
            <w:vAlign w:val="center"/>
          </w:tcPr>
          <w:p w14:paraId="588BF3F0" w14:textId="7C073AFF" w:rsidR="00FC5DD8" w:rsidRDefault="00FC5DD8" w:rsidP="00FC5DD8">
            <w:pPr>
              <w:ind w:right="-250"/>
              <w:rPr>
                <w:color w:val="000000"/>
                <w:szCs w:val="24"/>
                <w:lang w:val="ru-RU"/>
              </w:rPr>
            </w:pPr>
            <w:r>
              <w:t>Vitamin D response elements</w:t>
            </w:r>
          </w:p>
        </w:tc>
      </w:tr>
    </w:tbl>
    <w:p w14:paraId="6F7D3C15" w14:textId="2E95F011" w:rsidR="009C5EB9" w:rsidRPr="00FC5DD8" w:rsidRDefault="009C5EB9" w:rsidP="009C5EB9">
      <w:pPr>
        <w:pBdr>
          <w:top w:val="nil"/>
          <w:left w:val="nil"/>
          <w:bottom w:val="nil"/>
          <w:right w:val="nil"/>
          <w:between w:val="nil"/>
        </w:pBdr>
        <w:rPr>
          <w:color w:val="000000"/>
          <w:szCs w:val="24"/>
          <w:lang w:val="ru-RU"/>
        </w:rPr>
        <w:sectPr w:rsidR="009C5EB9" w:rsidRPr="00FC5DD8" w:rsidSect="008C2CCB">
          <w:footerReference w:type="default" r:id="rId11"/>
          <w:pgSz w:w="11910" w:h="16840"/>
          <w:pgMar w:top="1701" w:right="1701" w:bottom="1701" w:left="1701" w:header="0" w:footer="1097" w:gutter="0"/>
          <w:pgNumType w:fmt="upperRoman" w:start="1"/>
          <w:cols w:space="720"/>
          <w:titlePg/>
          <w:docGrid w:linePitch="326"/>
        </w:sectPr>
      </w:pPr>
    </w:p>
    <w:p w14:paraId="0000001A" w14:textId="77777777" w:rsidR="003A1FEB" w:rsidRPr="008840D2" w:rsidRDefault="002844AC">
      <w:pPr>
        <w:ind w:left="142"/>
        <w:jc w:val="center"/>
        <w:rPr>
          <w:b/>
          <w:bCs/>
          <w:sz w:val="28"/>
          <w:szCs w:val="28"/>
          <w:lang w:val="en-US"/>
        </w:rPr>
      </w:pPr>
      <w:bookmarkStart w:id="10" w:name="_heading=h.b8txfyklr9lu" w:colFirst="0" w:colLast="0"/>
      <w:bookmarkEnd w:id="10"/>
      <w:r>
        <w:rPr>
          <w:b/>
          <w:bCs/>
          <w:sz w:val="28"/>
          <w:szCs w:val="28"/>
          <w:lang w:val="en-US"/>
        </w:rPr>
        <w:lastRenderedPageBreak/>
        <w:t>TABLE OF CONTENTS</w:t>
      </w:r>
    </w:p>
    <w:sdt>
      <w:sdtPr>
        <w:rPr>
          <w:rFonts w:ascii="Times New Roman" w:eastAsia="Times New Roman" w:hAnsi="Times New Roman" w:cs="Times New Roman"/>
          <w:caps w:val="0"/>
          <w:color w:val="auto"/>
          <w:sz w:val="24"/>
          <w:szCs w:val="22"/>
          <w:lang w:val="en-US"/>
        </w:rPr>
        <w:id w:val="-1508430692"/>
        <w:docPartObj>
          <w:docPartGallery w:val="Table of Contents"/>
          <w:docPartUnique/>
        </w:docPartObj>
      </w:sdtPr>
      <w:sdtEndPr>
        <w:rPr>
          <w:b/>
          <w:bCs/>
          <w:noProof/>
        </w:rPr>
      </w:sdtEndPr>
      <w:sdtContent>
        <w:p w14:paraId="772E71C4" w14:textId="5ABD187F" w:rsidR="007E0216" w:rsidRPr="00AE1F58" w:rsidRDefault="007E0216">
          <w:pPr>
            <w:pStyle w:val="TOCHeading"/>
            <w:rPr>
              <w:color w:val="auto"/>
              <w:sz w:val="24"/>
              <w:szCs w:val="24"/>
              <w:lang w:val="en-US"/>
            </w:rPr>
          </w:pPr>
        </w:p>
        <w:p w14:paraId="1EDEAFDE" w14:textId="069A318C" w:rsidR="0007339A" w:rsidRPr="00DA2326" w:rsidRDefault="007E0216" w:rsidP="00DA2326">
          <w:pPr>
            <w:pStyle w:val="TOC1"/>
            <w:tabs>
              <w:tab w:val="right" w:leader="dot" w:pos="8498"/>
            </w:tabs>
            <w:spacing w:line="276" w:lineRule="auto"/>
            <w:rPr>
              <w:rFonts w:asciiTheme="minorHAnsi" w:eastAsiaTheme="minorEastAsia" w:hAnsiTheme="minorHAnsi" w:cstheme="minorBidi"/>
              <w:b w:val="0"/>
              <w:bCs w:val="0"/>
              <w:noProof/>
              <w:kern w:val="2"/>
              <w:sz w:val="24"/>
              <w:szCs w:val="24"/>
              <w:lang w:val="ru-KZ" w:eastAsia="zh-CN" w:bidi="bn-IN"/>
              <w14:ligatures w14:val="standardContextual"/>
            </w:rPr>
          </w:pPr>
          <w:r w:rsidRPr="00DA2326">
            <w:rPr>
              <w:sz w:val="24"/>
              <w:szCs w:val="24"/>
              <w:lang w:val="en-US"/>
            </w:rPr>
            <w:fldChar w:fldCharType="begin"/>
          </w:r>
          <w:r w:rsidRPr="00DA2326">
            <w:rPr>
              <w:sz w:val="24"/>
              <w:szCs w:val="24"/>
              <w:lang w:val="en-US"/>
            </w:rPr>
            <w:instrText xml:space="preserve"> TOC \o "1-3" \h \z \u </w:instrText>
          </w:r>
          <w:r w:rsidRPr="00DA2326">
            <w:rPr>
              <w:sz w:val="24"/>
              <w:szCs w:val="24"/>
              <w:lang w:val="en-US"/>
            </w:rPr>
            <w:fldChar w:fldCharType="separate"/>
          </w:r>
          <w:hyperlink w:anchor="_Toc227014971" w:history="1">
            <w:r w:rsidR="0007339A" w:rsidRPr="00DA2326">
              <w:rPr>
                <w:rStyle w:val="Hyperlink"/>
                <w:noProof/>
                <w:sz w:val="24"/>
                <w:szCs w:val="24"/>
                <w:lang w:val="en-US"/>
              </w:rPr>
              <w:t>DECLARATION</w:t>
            </w:r>
            <w:r w:rsidR="0007339A" w:rsidRPr="00DA2326">
              <w:rPr>
                <w:noProof/>
                <w:webHidden/>
                <w:sz w:val="24"/>
                <w:szCs w:val="24"/>
              </w:rPr>
              <w:tab/>
            </w:r>
            <w:r w:rsidR="0007339A" w:rsidRPr="00DA2326">
              <w:rPr>
                <w:noProof/>
                <w:webHidden/>
                <w:sz w:val="24"/>
                <w:szCs w:val="24"/>
              </w:rPr>
              <w:fldChar w:fldCharType="begin"/>
            </w:r>
            <w:r w:rsidR="0007339A" w:rsidRPr="00DA2326">
              <w:rPr>
                <w:noProof/>
                <w:webHidden/>
                <w:sz w:val="24"/>
                <w:szCs w:val="24"/>
              </w:rPr>
              <w:instrText xml:space="preserve"> PAGEREF _Toc227014971 \h </w:instrText>
            </w:r>
            <w:r w:rsidR="0007339A" w:rsidRPr="00DA2326">
              <w:rPr>
                <w:noProof/>
                <w:webHidden/>
                <w:sz w:val="24"/>
                <w:szCs w:val="24"/>
              </w:rPr>
            </w:r>
            <w:r w:rsidR="0007339A" w:rsidRPr="00DA2326">
              <w:rPr>
                <w:noProof/>
                <w:webHidden/>
                <w:sz w:val="24"/>
                <w:szCs w:val="24"/>
              </w:rPr>
              <w:fldChar w:fldCharType="separate"/>
            </w:r>
            <w:r w:rsidR="0007339A" w:rsidRPr="00DA2326">
              <w:rPr>
                <w:noProof/>
                <w:webHidden/>
                <w:sz w:val="24"/>
                <w:szCs w:val="24"/>
              </w:rPr>
              <w:t>II</w:t>
            </w:r>
            <w:r w:rsidR="0007339A" w:rsidRPr="00DA2326">
              <w:rPr>
                <w:noProof/>
                <w:webHidden/>
                <w:sz w:val="24"/>
                <w:szCs w:val="24"/>
              </w:rPr>
              <w:fldChar w:fldCharType="end"/>
            </w:r>
          </w:hyperlink>
        </w:p>
        <w:p w14:paraId="600D9B88" w14:textId="0A02C872" w:rsidR="0007339A" w:rsidRPr="00DA2326" w:rsidRDefault="0007339A" w:rsidP="00DA2326">
          <w:pPr>
            <w:pStyle w:val="TOC1"/>
            <w:tabs>
              <w:tab w:val="right" w:leader="dot" w:pos="8498"/>
            </w:tabs>
            <w:spacing w:line="276" w:lineRule="auto"/>
            <w:rPr>
              <w:rFonts w:asciiTheme="minorHAnsi" w:eastAsiaTheme="minorEastAsia" w:hAnsiTheme="minorHAnsi" w:cstheme="minorBidi"/>
              <w:b w:val="0"/>
              <w:bCs w:val="0"/>
              <w:noProof/>
              <w:kern w:val="2"/>
              <w:sz w:val="24"/>
              <w:szCs w:val="24"/>
              <w:lang w:val="ru-KZ" w:eastAsia="zh-CN" w:bidi="bn-IN"/>
              <w14:ligatures w14:val="standardContextual"/>
            </w:rPr>
          </w:pPr>
          <w:hyperlink w:anchor="_Toc227014972" w:history="1">
            <w:r w:rsidRPr="00DA2326">
              <w:rPr>
                <w:rStyle w:val="Hyperlink"/>
                <w:noProof/>
                <w:sz w:val="24"/>
                <w:szCs w:val="24"/>
                <w:lang w:val="en-US"/>
              </w:rPr>
              <w:t>ACKNOWLEDGEMENTS</w:t>
            </w:r>
            <w:r w:rsidRPr="00DA2326">
              <w:rPr>
                <w:noProof/>
                <w:webHidden/>
                <w:sz w:val="24"/>
                <w:szCs w:val="24"/>
              </w:rPr>
              <w:tab/>
            </w:r>
            <w:r w:rsidRPr="00DA2326">
              <w:rPr>
                <w:noProof/>
                <w:webHidden/>
                <w:sz w:val="24"/>
                <w:szCs w:val="24"/>
              </w:rPr>
              <w:fldChar w:fldCharType="begin"/>
            </w:r>
            <w:r w:rsidRPr="00DA2326">
              <w:rPr>
                <w:noProof/>
                <w:webHidden/>
                <w:sz w:val="24"/>
                <w:szCs w:val="24"/>
              </w:rPr>
              <w:instrText xml:space="preserve"> PAGEREF _Toc227014972 \h </w:instrText>
            </w:r>
            <w:r w:rsidRPr="00DA2326">
              <w:rPr>
                <w:noProof/>
                <w:webHidden/>
                <w:sz w:val="24"/>
                <w:szCs w:val="24"/>
              </w:rPr>
            </w:r>
            <w:r w:rsidRPr="00DA2326">
              <w:rPr>
                <w:noProof/>
                <w:webHidden/>
                <w:sz w:val="24"/>
                <w:szCs w:val="24"/>
              </w:rPr>
              <w:fldChar w:fldCharType="separate"/>
            </w:r>
            <w:r w:rsidRPr="00DA2326">
              <w:rPr>
                <w:noProof/>
                <w:webHidden/>
                <w:sz w:val="24"/>
                <w:szCs w:val="24"/>
              </w:rPr>
              <w:t>III</w:t>
            </w:r>
            <w:r w:rsidRPr="00DA2326">
              <w:rPr>
                <w:noProof/>
                <w:webHidden/>
                <w:sz w:val="24"/>
                <w:szCs w:val="24"/>
              </w:rPr>
              <w:fldChar w:fldCharType="end"/>
            </w:r>
          </w:hyperlink>
        </w:p>
        <w:p w14:paraId="05149FFA" w14:textId="0114DD30" w:rsidR="0007339A" w:rsidRPr="00DA2326" w:rsidRDefault="0007339A" w:rsidP="00DA2326">
          <w:pPr>
            <w:pStyle w:val="TOC1"/>
            <w:tabs>
              <w:tab w:val="right" w:leader="dot" w:pos="8498"/>
            </w:tabs>
            <w:spacing w:line="276" w:lineRule="auto"/>
            <w:rPr>
              <w:rFonts w:asciiTheme="minorHAnsi" w:eastAsiaTheme="minorEastAsia" w:hAnsiTheme="minorHAnsi" w:cstheme="minorBidi"/>
              <w:b w:val="0"/>
              <w:bCs w:val="0"/>
              <w:noProof/>
              <w:kern w:val="2"/>
              <w:sz w:val="24"/>
              <w:szCs w:val="24"/>
              <w:lang w:val="ru-KZ" w:eastAsia="zh-CN" w:bidi="bn-IN"/>
              <w14:ligatures w14:val="standardContextual"/>
            </w:rPr>
          </w:pPr>
          <w:hyperlink w:anchor="_Toc227014973" w:history="1">
            <w:r w:rsidRPr="00DA2326">
              <w:rPr>
                <w:rStyle w:val="Hyperlink"/>
                <w:noProof/>
                <w:sz w:val="24"/>
                <w:szCs w:val="24"/>
                <w:lang w:val="en-US"/>
              </w:rPr>
              <w:t>LIST</w:t>
            </w:r>
            <w:r w:rsidRPr="00DA2326">
              <w:rPr>
                <w:rStyle w:val="Hyperlink"/>
                <w:noProof/>
                <w:spacing w:val="-3"/>
                <w:sz w:val="24"/>
                <w:szCs w:val="24"/>
                <w:lang w:val="en-US"/>
              </w:rPr>
              <w:t xml:space="preserve"> </w:t>
            </w:r>
            <w:r w:rsidRPr="00DA2326">
              <w:rPr>
                <w:rStyle w:val="Hyperlink"/>
                <w:noProof/>
                <w:sz w:val="24"/>
                <w:szCs w:val="24"/>
                <w:lang w:val="en-US"/>
              </w:rPr>
              <w:t>OF</w:t>
            </w:r>
            <w:r w:rsidRPr="00DA2326">
              <w:rPr>
                <w:rStyle w:val="Hyperlink"/>
                <w:noProof/>
                <w:spacing w:val="-1"/>
                <w:sz w:val="24"/>
                <w:szCs w:val="24"/>
                <w:lang w:val="en-US"/>
              </w:rPr>
              <w:t xml:space="preserve"> </w:t>
            </w:r>
            <w:r w:rsidRPr="00DA2326">
              <w:rPr>
                <w:rStyle w:val="Hyperlink"/>
                <w:noProof/>
                <w:sz w:val="24"/>
                <w:szCs w:val="24"/>
                <w:lang w:val="en-US"/>
              </w:rPr>
              <w:t>TABLES</w:t>
            </w:r>
            <w:r w:rsidRPr="00DA2326">
              <w:rPr>
                <w:noProof/>
                <w:webHidden/>
                <w:sz w:val="24"/>
                <w:szCs w:val="24"/>
              </w:rPr>
              <w:tab/>
            </w:r>
            <w:r w:rsidRPr="00DA2326">
              <w:rPr>
                <w:noProof/>
                <w:webHidden/>
                <w:sz w:val="24"/>
                <w:szCs w:val="24"/>
              </w:rPr>
              <w:fldChar w:fldCharType="begin"/>
            </w:r>
            <w:r w:rsidRPr="00DA2326">
              <w:rPr>
                <w:noProof/>
                <w:webHidden/>
                <w:sz w:val="24"/>
                <w:szCs w:val="24"/>
              </w:rPr>
              <w:instrText xml:space="preserve"> PAGEREF _Toc227014973 \h </w:instrText>
            </w:r>
            <w:r w:rsidRPr="00DA2326">
              <w:rPr>
                <w:noProof/>
                <w:webHidden/>
                <w:sz w:val="24"/>
                <w:szCs w:val="24"/>
              </w:rPr>
            </w:r>
            <w:r w:rsidRPr="00DA2326">
              <w:rPr>
                <w:noProof/>
                <w:webHidden/>
                <w:sz w:val="24"/>
                <w:szCs w:val="24"/>
              </w:rPr>
              <w:fldChar w:fldCharType="separate"/>
            </w:r>
            <w:r w:rsidRPr="00DA2326">
              <w:rPr>
                <w:noProof/>
                <w:webHidden/>
                <w:sz w:val="24"/>
                <w:szCs w:val="24"/>
              </w:rPr>
              <w:t>IV</w:t>
            </w:r>
            <w:r w:rsidRPr="00DA2326">
              <w:rPr>
                <w:noProof/>
                <w:webHidden/>
                <w:sz w:val="24"/>
                <w:szCs w:val="24"/>
              </w:rPr>
              <w:fldChar w:fldCharType="end"/>
            </w:r>
          </w:hyperlink>
        </w:p>
        <w:p w14:paraId="0349FF0F" w14:textId="07E925E7" w:rsidR="0007339A" w:rsidRPr="00DA2326" w:rsidRDefault="0007339A" w:rsidP="00DA2326">
          <w:pPr>
            <w:pStyle w:val="TOC1"/>
            <w:tabs>
              <w:tab w:val="right" w:leader="dot" w:pos="8498"/>
            </w:tabs>
            <w:spacing w:line="276" w:lineRule="auto"/>
            <w:rPr>
              <w:rFonts w:asciiTheme="minorHAnsi" w:eastAsiaTheme="minorEastAsia" w:hAnsiTheme="minorHAnsi" w:cstheme="minorBidi"/>
              <w:b w:val="0"/>
              <w:bCs w:val="0"/>
              <w:noProof/>
              <w:kern w:val="2"/>
              <w:sz w:val="24"/>
              <w:szCs w:val="24"/>
              <w:lang w:val="ru-KZ" w:eastAsia="zh-CN" w:bidi="bn-IN"/>
              <w14:ligatures w14:val="standardContextual"/>
            </w:rPr>
          </w:pPr>
          <w:hyperlink w:anchor="_Toc227014974" w:history="1">
            <w:r w:rsidRPr="00DA2326">
              <w:rPr>
                <w:rStyle w:val="Hyperlink"/>
                <w:noProof/>
                <w:sz w:val="24"/>
                <w:szCs w:val="24"/>
                <w:lang w:val="en-US"/>
              </w:rPr>
              <w:t>LIST</w:t>
            </w:r>
            <w:r w:rsidRPr="00DA2326">
              <w:rPr>
                <w:rStyle w:val="Hyperlink"/>
                <w:noProof/>
                <w:spacing w:val="-4"/>
                <w:sz w:val="24"/>
                <w:szCs w:val="24"/>
                <w:lang w:val="en-US"/>
              </w:rPr>
              <w:t xml:space="preserve"> </w:t>
            </w:r>
            <w:r w:rsidRPr="00DA2326">
              <w:rPr>
                <w:rStyle w:val="Hyperlink"/>
                <w:noProof/>
                <w:sz w:val="24"/>
                <w:szCs w:val="24"/>
                <w:lang w:val="en-US"/>
              </w:rPr>
              <w:t>OF</w:t>
            </w:r>
            <w:r w:rsidRPr="00DA2326">
              <w:rPr>
                <w:rStyle w:val="Hyperlink"/>
                <w:noProof/>
                <w:spacing w:val="-2"/>
                <w:sz w:val="24"/>
                <w:szCs w:val="24"/>
                <w:lang w:val="en-US"/>
              </w:rPr>
              <w:t xml:space="preserve"> </w:t>
            </w:r>
            <w:r w:rsidRPr="00DA2326">
              <w:rPr>
                <w:rStyle w:val="Hyperlink"/>
                <w:noProof/>
                <w:sz w:val="24"/>
                <w:szCs w:val="24"/>
                <w:lang w:val="en-US"/>
              </w:rPr>
              <w:t>FIGURES</w:t>
            </w:r>
            <w:r w:rsidRPr="00DA2326">
              <w:rPr>
                <w:rStyle w:val="Hyperlink"/>
                <w:noProof/>
                <w:spacing w:val="-5"/>
                <w:sz w:val="24"/>
                <w:szCs w:val="24"/>
                <w:lang w:val="en-US"/>
              </w:rPr>
              <w:t xml:space="preserve"> AND </w:t>
            </w:r>
            <w:r w:rsidRPr="00DA2326">
              <w:rPr>
                <w:rStyle w:val="Hyperlink"/>
                <w:noProof/>
                <w:sz w:val="24"/>
                <w:szCs w:val="24"/>
                <w:lang w:val="en-US"/>
              </w:rPr>
              <w:t>ILLUSTRATIONS</w:t>
            </w:r>
            <w:r w:rsidRPr="00DA2326">
              <w:rPr>
                <w:noProof/>
                <w:webHidden/>
                <w:sz w:val="24"/>
                <w:szCs w:val="24"/>
              </w:rPr>
              <w:tab/>
            </w:r>
            <w:r w:rsidRPr="00DA2326">
              <w:rPr>
                <w:noProof/>
                <w:webHidden/>
                <w:sz w:val="24"/>
                <w:szCs w:val="24"/>
              </w:rPr>
              <w:fldChar w:fldCharType="begin"/>
            </w:r>
            <w:r w:rsidRPr="00DA2326">
              <w:rPr>
                <w:noProof/>
                <w:webHidden/>
                <w:sz w:val="24"/>
                <w:szCs w:val="24"/>
              </w:rPr>
              <w:instrText xml:space="preserve"> PAGEREF _Toc227014974 \h </w:instrText>
            </w:r>
            <w:r w:rsidRPr="00DA2326">
              <w:rPr>
                <w:noProof/>
                <w:webHidden/>
                <w:sz w:val="24"/>
                <w:szCs w:val="24"/>
              </w:rPr>
            </w:r>
            <w:r w:rsidRPr="00DA2326">
              <w:rPr>
                <w:noProof/>
                <w:webHidden/>
                <w:sz w:val="24"/>
                <w:szCs w:val="24"/>
              </w:rPr>
              <w:fldChar w:fldCharType="separate"/>
            </w:r>
            <w:r w:rsidRPr="00DA2326">
              <w:rPr>
                <w:noProof/>
                <w:webHidden/>
                <w:sz w:val="24"/>
                <w:szCs w:val="24"/>
              </w:rPr>
              <w:t>V</w:t>
            </w:r>
            <w:r w:rsidRPr="00DA2326">
              <w:rPr>
                <w:noProof/>
                <w:webHidden/>
                <w:sz w:val="24"/>
                <w:szCs w:val="24"/>
              </w:rPr>
              <w:fldChar w:fldCharType="end"/>
            </w:r>
          </w:hyperlink>
        </w:p>
        <w:p w14:paraId="48CA8FA1" w14:textId="71656D4C" w:rsidR="0007339A" w:rsidRPr="00DA2326" w:rsidRDefault="0007339A" w:rsidP="00DA2326">
          <w:pPr>
            <w:pStyle w:val="TOC1"/>
            <w:tabs>
              <w:tab w:val="right" w:leader="dot" w:pos="8498"/>
            </w:tabs>
            <w:spacing w:line="276" w:lineRule="auto"/>
            <w:rPr>
              <w:rFonts w:asciiTheme="minorHAnsi" w:eastAsiaTheme="minorEastAsia" w:hAnsiTheme="minorHAnsi" w:cstheme="minorBidi"/>
              <w:b w:val="0"/>
              <w:bCs w:val="0"/>
              <w:noProof/>
              <w:kern w:val="2"/>
              <w:sz w:val="24"/>
              <w:szCs w:val="24"/>
              <w:lang w:val="ru-KZ" w:eastAsia="zh-CN" w:bidi="bn-IN"/>
              <w14:ligatures w14:val="standardContextual"/>
            </w:rPr>
          </w:pPr>
          <w:hyperlink w:anchor="_Toc227014975" w:history="1">
            <w:r w:rsidRPr="00DA2326">
              <w:rPr>
                <w:rStyle w:val="Hyperlink"/>
                <w:noProof/>
                <w:sz w:val="24"/>
                <w:szCs w:val="24"/>
              </w:rPr>
              <w:t>ABBREVIATIONS</w:t>
            </w:r>
            <w:r w:rsidRPr="00DA2326">
              <w:rPr>
                <w:noProof/>
                <w:webHidden/>
                <w:sz w:val="24"/>
                <w:szCs w:val="24"/>
              </w:rPr>
              <w:tab/>
            </w:r>
            <w:r w:rsidRPr="00DA2326">
              <w:rPr>
                <w:noProof/>
                <w:webHidden/>
                <w:sz w:val="24"/>
                <w:szCs w:val="24"/>
              </w:rPr>
              <w:fldChar w:fldCharType="begin"/>
            </w:r>
            <w:r w:rsidRPr="00DA2326">
              <w:rPr>
                <w:noProof/>
                <w:webHidden/>
                <w:sz w:val="24"/>
                <w:szCs w:val="24"/>
              </w:rPr>
              <w:instrText xml:space="preserve"> PAGEREF _Toc227014975 \h </w:instrText>
            </w:r>
            <w:r w:rsidRPr="00DA2326">
              <w:rPr>
                <w:noProof/>
                <w:webHidden/>
                <w:sz w:val="24"/>
                <w:szCs w:val="24"/>
              </w:rPr>
            </w:r>
            <w:r w:rsidRPr="00DA2326">
              <w:rPr>
                <w:noProof/>
                <w:webHidden/>
                <w:sz w:val="24"/>
                <w:szCs w:val="24"/>
              </w:rPr>
              <w:fldChar w:fldCharType="separate"/>
            </w:r>
            <w:r w:rsidRPr="00DA2326">
              <w:rPr>
                <w:noProof/>
                <w:webHidden/>
                <w:sz w:val="24"/>
                <w:szCs w:val="24"/>
              </w:rPr>
              <w:t>VI</w:t>
            </w:r>
            <w:r w:rsidRPr="00DA2326">
              <w:rPr>
                <w:noProof/>
                <w:webHidden/>
                <w:sz w:val="24"/>
                <w:szCs w:val="24"/>
              </w:rPr>
              <w:fldChar w:fldCharType="end"/>
            </w:r>
          </w:hyperlink>
        </w:p>
        <w:p w14:paraId="1DF501A3" w14:textId="4E3BC031" w:rsidR="0007339A" w:rsidRPr="00DA2326" w:rsidRDefault="0007339A" w:rsidP="00DA2326">
          <w:pPr>
            <w:pStyle w:val="TOC1"/>
            <w:tabs>
              <w:tab w:val="right" w:leader="dot" w:pos="8498"/>
            </w:tabs>
            <w:spacing w:line="276" w:lineRule="auto"/>
            <w:rPr>
              <w:rFonts w:asciiTheme="minorHAnsi" w:eastAsiaTheme="minorEastAsia" w:hAnsiTheme="minorHAnsi" w:cstheme="minorBidi"/>
              <w:b w:val="0"/>
              <w:bCs w:val="0"/>
              <w:noProof/>
              <w:kern w:val="2"/>
              <w:sz w:val="24"/>
              <w:szCs w:val="24"/>
              <w:lang w:val="ru-KZ" w:eastAsia="zh-CN" w:bidi="bn-IN"/>
              <w14:ligatures w14:val="standardContextual"/>
            </w:rPr>
          </w:pPr>
          <w:hyperlink w:anchor="_Toc227014976" w:history="1">
            <w:r w:rsidRPr="00DA2326">
              <w:rPr>
                <w:rStyle w:val="Hyperlink"/>
                <w:noProof/>
                <w:sz w:val="24"/>
                <w:szCs w:val="24"/>
                <w:lang w:val="en-US"/>
              </w:rPr>
              <w:t>ABSTRACT</w:t>
            </w:r>
            <w:r w:rsidRPr="00DA2326">
              <w:rPr>
                <w:noProof/>
                <w:webHidden/>
                <w:sz w:val="24"/>
                <w:szCs w:val="24"/>
              </w:rPr>
              <w:tab/>
            </w:r>
            <w:r w:rsidRPr="00DA2326">
              <w:rPr>
                <w:noProof/>
                <w:webHidden/>
                <w:sz w:val="24"/>
                <w:szCs w:val="24"/>
              </w:rPr>
              <w:fldChar w:fldCharType="begin"/>
            </w:r>
            <w:r w:rsidRPr="00DA2326">
              <w:rPr>
                <w:noProof/>
                <w:webHidden/>
                <w:sz w:val="24"/>
                <w:szCs w:val="24"/>
              </w:rPr>
              <w:instrText xml:space="preserve"> PAGEREF _Toc227014976 \h </w:instrText>
            </w:r>
            <w:r w:rsidRPr="00DA2326">
              <w:rPr>
                <w:noProof/>
                <w:webHidden/>
                <w:sz w:val="24"/>
                <w:szCs w:val="24"/>
              </w:rPr>
            </w:r>
            <w:r w:rsidRPr="00DA2326">
              <w:rPr>
                <w:noProof/>
                <w:webHidden/>
                <w:sz w:val="24"/>
                <w:szCs w:val="24"/>
              </w:rPr>
              <w:fldChar w:fldCharType="separate"/>
            </w:r>
            <w:r w:rsidRPr="00DA2326">
              <w:rPr>
                <w:noProof/>
                <w:webHidden/>
                <w:sz w:val="24"/>
                <w:szCs w:val="24"/>
              </w:rPr>
              <w:t>1</w:t>
            </w:r>
            <w:r w:rsidRPr="00DA2326">
              <w:rPr>
                <w:noProof/>
                <w:webHidden/>
                <w:sz w:val="24"/>
                <w:szCs w:val="24"/>
              </w:rPr>
              <w:fldChar w:fldCharType="end"/>
            </w:r>
          </w:hyperlink>
        </w:p>
        <w:p w14:paraId="5B4C9524" w14:textId="396B1DC3" w:rsidR="0007339A" w:rsidRPr="00DA2326" w:rsidRDefault="0007339A" w:rsidP="00DA2326">
          <w:pPr>
            <w:pStyle w:val="TOC1"/>
            <w:tabs>
              <w:tab w:val="left" w:pos="960"/>
              <w:tab w:val="right" w:leader="dot" w:pos="8498"/>
            </w:tabs>
            <w:spacing w:line="276" w:lineRule="auto"/>
            <w:rPr>
              <w:rFonts w:asciiTheme="minorHAnsi" w:eastAsiaTheme="minorEastAsia" w:hAnsiTheme="minorHAnsi" w:cstheme="minorBidi"/>
              <w:b w:val="0"/>
              <w:bCs w:val="0"/>
              <w:noProof/>
              <w:kern w:val="2"/>
              <w:sz w:val="24"/>
              <w:szCs w:val="24"/>
              <w:lang w:val="ru-KZ" w:eastAsia="zh-CN" w:bidi="bn-IN"/>
              <w14:ligatures w14:val="standardContextual"/>
            </w:rPr>
          </w:pPr>
          <w:hyperlink w:anchor="_Toc227014977" w:history="1">
            <w:r w:rsidRPr="00DA2326">
              <w:rPr>
                <w:rStyle w:val="Hyperlink"/>
                <w:noProof/>
                <w:sz w:val="24"/>
                <w:szCs w:val="24"/>
                <w:lang w:val="en-US"/>
              </w:rPr>
              <w:t>1.</w:t>
            </w:r>
            <w:r w:rsidRPr="00DA2326">
              <w:rPr>
                <w:rFonts w:asciiTheme="minorHAnsi" w:eastAsiaTheme="minorEastAsia" w:hAnsiTheme="minorHAnsi" w:cstheme="minorBidi"/>
                <w:b w:val="0"/>
                <w:bCs w:val="0"/>
                <w:noProof/>
                <w:kern w:val="2"/>
                <w:sz w:val="24"/>
                <w:szCs w:val="24"/>
                <w:lang w:val="ru-KZ" w:eastAsia="zh-CN" w:bidi="bn-IN"/>
                <w14:ligatures w14:val="standardContextual"/>
              </w:rPr>
              <w:tab/>
            </w:r>
            <w:r w:rsidRPr="00DA2326">
              <w:rPr>
                <w:rStyle w:val="Hyperlink"/>
                <w:noProof/>
                <w:sz w:val="24"/>
                <w:szCs w:val="24"/>
                <w:lang w:val="en-US"/>
              </w:rPr>
              <w:t>INTRODUCTION</w:t>
            </w:r>
            <w:r w:rsidRPr="00DA2326">
              <w:rPr>
                <w:noProof/>
                <w:webHidden/>
                <w:sz w:val="24"/>
                <w:szCs w:val="24"/>
              </w:rPr>
              <w:tab/>
            </w:r>
            <w:r w:rsidRPr="00DA2326">
              <w:rPr>
                <w:noProof/>
                <w:webHidden/>
                <w:sz w:val="24"/>
                <w:szCs w:val="24"/>
              </w:rPr>
              <w:fldChar w:fldCharType="begin"/>
            </w:r>
            <w:r w:rsidRPr="00DA2326">
              <w:rPr>
                <w:noProof/>
                <w:webHidden/>
                <w:sz w:val="24"/>
                <w:szCs w:val="24"/>
              </w:rPr>
              <w:instrText xml:space="preserve"> PAGEREF _Toc227014977 \h </w:instrText>
            </w:r>
            <w:r w:rsidRPr="00DA2326">
              <w:rPr>
                <w:noProof/>
                <w:webHidden/>
                <w:sz w:val="24"/>
                <w:szCs w:val="24"/>
              </w:rPr>
            </w:r>
            <w:r w:rsidRPr="00DA2326">
              <w:rPr>
                <w:noProof/>
                <w:webHidden/>
                <w:sz w:val="24"/>
                <w:szCs w:val="24"/>
              </w:rPr>
              <w:fldChar w:fldCharType="separate"/>
            </w:r>
            <w:r w:rsidRPr="00DA2326">
              <w:rPr>
                <w:noProof/>
                <w:webHidden/>
                <w:sz w:val="24"/>
                <w:szCs w:val="24"/>
              </w:rPr>
              <w:t>2</w:t>
            </w:r>
            <w:r w:rsidRPr="00DA2326">
              <w:rPr>
                <w:noProof/>
                <w:webHidden/>
                <w:sz w:val="24"/>
                <w:szCs w:val="24"/>
              </w:rPr>
              <w:fldChar w:fldCharType="end"/>
            </w:r>
          </w:hyperlink>
        </w:p>
        <w:p w14:paraId="2402787F" w14:textId="6B8F813C" w:rsidR="0007339A" w:rsidRPr="00DA2326" w:rsidRDefault="0007339A" w:rsidP="00DA2326">
          <w:pPr>
            <w:pStyle w:val="TOC2"/>
            <w:tabs>
              <w:tab w:val="left" w:pos="960"/>
              <w:tab w:val="right" w:leader="dot" w:pos="8498"/>
            </w:tabs>
            <w:spacing w:line="276" w:lineRule="auto"/>
            <w:rPr>
              <w:rFonts w:asciiTheme="minorHAnsi" w:eastAsiaTheme="minorEastAsia" w:hAnsiTheme="minorHAnsi" w:cstheme="minorBidi"/>
              <w:b w:val="0"/>
              <w:bCs w:val="0"/>
              <w:noProof/>
              <w:kern w:val="2"/>
              <w:sz w:val="24"/>
              <w:szCs w:val="24"/>
              <w:lang w:val="ru-KZ" w:eastAsia="zh-CN" w:bidi="bn-IN"/>
              <w14:ligatures w14:val="standardContextual"/>
            </w:rPr>
          </w:pPr>
          <w:hyperlink w:anchor="_Toc227014978" w:history="1">
            <w:r w:rsidRPr="00DA2326">
              <w:rPr>
                <w:rStyle w:val="Hyperlink"/>
                <w:noProof/>
                <w:sz w:val="24"/>
                <w:szCs w:val="24"/>
                <w:lang w:val="en-US"/>
              </w:rPr>
              <w:t>1.1</w:t>
            </w:r>
            <w:r w:rsidR="00DA2326">
              <w:rPr>
                <w:rFonts w:asciiTheme="minorHAnsi" w:eastAsiaTheme="minorEastAsia" w:hAnsiTheme="minorHAnsi" w:cstheme="minorBidi"/>
                <w:b w:val="0"/>
                <w:bCs w:val="0"/>
                <w:noProof/>
                <w:kern w:val="2"/>
                <w:sz w:val="24"/>
                <w:szCs w:val="24"/>
                <w:lang w:val="ru-KZ" w:eastAsia="zh-CN" w:bidi="bn-IN"/>
                <w14:ligatures w14:val="standardContextual"/>
              </w:rPr>
              <w:t xml:space="preserve"> </w:t>
            </w:r>
            <w:r w:rsidRPr="00DA2326">
              <w:rPr>
                <w:rStyle w:val="Hyperlink"/>
                <w:noProof/>
                <w:sz w:val="24"/>
                <w:szCs w:val="24"/>
                <w:lang w:val="en-US"/>
              </w:rPr>
              <w:t>Biological significance of vitamin D signaling in human health</w:t>
            </w:r>
            <w:r w:rsidRPr="00DA2326">
              <w:rPr>
                <w:noProof/>
                <w:webHidden/>
                <w:sz w:val="24"/>
                <w:szCs w:val="24"/>
              </w:rPr>
              <w:tab/>
            </w:r>
            <w:r w:rsidRPr="00DA2326">
              <w:rPr>
                <w:noProof/>
                <w:webHidden/>
                <w:sz w:val="24"/>
                <w:szCs w:val="24"/>
              </w:rPr>
              <w:fldChar w:fldCharType="begin"/>
            </w:r>
            <w:r w:rsidRPr="00DA2326">
              <w:rPr>
                <w:noProof/>
                <w:webHidden/>
                <w:sz w:val="24"/>
                <w:szCs w:val="24"/>
              </w:rPr>
              <w:instrText xml:space="preserve"> PAGEREF _Toc227014978 \h </w:instrText>
            </w:r>
            <w:r w:rsidRPr="00DA2326">
              <w:rPr>
                <w:noProof/>
                <w:webHidden/>
                <w:sz w:val="24"/>
                <w:szCs w:val="24"/>
              </w:rPr>
            </w:r>
            <w:r w:rsidRPr="00DA2326">
              <w:rPr>
                <w:noProof/>
                <w:webHidden/>
                <w:sz w:val="24"/>
                <w:szCs w:val="24"/>
              </w:rPr>
              <w:fldChar w:fldCharType="separate"/>
            </w:r>
            <w:r w:rsidRPr="00DA2326">
              <w:rPr>
                <w:noProof/>
                <w:webHidden/>
                <w:sz w:val="24"/>
                <w:szCs w:val="24"/>
              </w:rPr>
              <w:t>2</w:t>
            </w:r>
            <w:r w:rsidRPr="00DA2326">
              <w:rPr>
                <w:noProof/>
                <w:webHidden/>
                <w:sz w:val="24"/>
                <w:szCs w:val="24"/>
              </w:rPr>
              <w:fldChar w:fldCharType="end"/>
            </w:r>
          </w:hyperlink>
        </w:p>
        <w:p w14:paraId="0DD561A1" w14:textId="5873FA18" w:rsidR="0007339A" w:rsidRPr="00DA2326" w:rsidRDefault="0007339A" w:rsidP="00DA2326">
          <w:pPr>
            <w:pStyle w:val="TOC2"/>
            <w:tabs>
              <w:tab w:val="left" w:pos="960"/>
              <w:tab w:val="right" w:leader="dot" w:pos="8498"/>
            </w:tabs>
            <w:spacing w:line="276" w:lineRule="auto"/>
            <w:rPr>
              <w:rFonts w:asciiTheme="minorHAnsi" w:eastAsiaTheme="minorEastAsia" w:hAnsiTheme="minorHAnsi" w:cstheme="minorBidi"/>
              <w:b w:val="0"/>
              <w:bCs w:val="0"/>
              <w:noProof/>
              <w:kern w:val="2"/>
              <w:sz w:val="24"/>
              <w:szCs w:val="24"/>
              <w:lang w:val="ru-KZ" w:eastAsia="zh-CN" w:bidi="bn-IN"/>
              <w14:ligatures w14:val="standardContextual"/>
            </w:rPr>
          </w:pPr>
          <w:hyperlink w:anchor="_Toc227014979" w:history="1">
            <w:r w:rsidRPr="00DA2326">
              <w:rPr>
                <w:rStyle w:val="Hyperlink"/>
                <w:noProof/>
                <w:sz w:val="24"/>
                <w:szCs w:val="24"/>
                <w:lang w:val="en-US"/>
              </w:rPr>
              <w:t>1.2</w:t>
            </w:r>
            <w:r w:rsidR="00DA2326">
              <w:rPr>
                <w:rFonts w:asciiTheme="minorHAnsi" w:eastAsiaTheme="minorEastAsia" w:hAnsiTheme="minorHAnsi" w:cstheme="minorBidi"/>
                <w:b w:val="0"/>
                <w:bCs w:val="0"/>
                <w:noProof/>
                <w:kern w:val="2"/>
                <w:sz w:val="24"/>
                <w:szCs w:val="24"/>
                <w:lang w:val="ru-KZ" w:eastAsia="zh-CN" w:bidi="bn-IN"/>
                <w14:ligatures w14:val="standardContextual"/>
              </w:rPr>
              <w:t xml:space="preserve"> </w:t>
            </w:r>
            <w:r w:rsidRPr="00DA2326">
              <w:rPr>
                <w:rStyle w:val="Hyperlink"/>
                <w:noProof/>
                <w:sz w:val="24"/>
                <w:szCs w:val="24"/>
                <w:lang w:val="en-US"/>
              </w:rPr>
              <w:t>Vitamin D receptor as a molecular target</w:t>
            </w:r>
            <w:r w:rsidRPr="00DA2326">
              <w:rPr>
                <w:noProof/>
                <w:webHidden/>
                <w:sz w:val="24"/>
                <w:szCs w:val="24"/>
              </w:rPr>
              <w:tab/>
            </w:r>
            <w:r w:rsidRPr="00DA2326">
              <w:rPr>
                <w:noProof/>
                <w:webHidden/>
                <w:sz w:val="24"/>
                <w:szCs w:val="24"/>
              </w:rPr>
              <w:fldChar w:fldCharType="begin"/>
            </w:r>
            <w:r w:rsidRPr="00DA2326">
              <w:rPr>
                <w:noProof/>
                <w:webHidden/>
                <w:sz w:val="24"/>
                <w:szCs w:val="24"/>
              </w:rPr>
              <w:instrText xml:space="preserve"> PAGEREF _Toc227014979 \h </w:instrText>
            </w:r>
            <w:r w:rsidRPr="00DA2326">
              <w:rPr>
                <w:noProof/>
                <w:webHidden/>
                <w:sz w:val="24"/>
                <w:szCs w:val="24"/>
              </w:rPr>
            </w:r>
            <w:r w:rsidRPr="00DA2326">
              <w:rPr>
                <w:noProof/>
                <w:webHidden/>
                <w:sz w:val="24"/>
                <w:szCs w:val="24"/>
              </w:rPr>
              <w:fldChar w:fldCharType="separate"/>
            </w:r>
            <w:r w:rsidRPr="00DA2326">
              <w:rPr>
                <w:noProof/>
                <w:webHidden/>
                <w:sz w:val="24"/>
                <w:szCs w:val="24"/>
              </w:rPr>
              <w:t>2</w:t>
            </w:r>
            <w:r w:rsidRPr="00DA2326">
              <w:rPr>
                <w:noProof/>
                <w:webHidden/>
                <w:sz w:val="24"/>
                <w:szCs w:val="24"/>
              </w:rPr>
              <w:fldChar w:fldCharType="end"/>
            </w:r>
          </w:hyperlink>
        </w:p>
        <w:p w14:paraId="4E0F0786" w14:textId="2C7CF600" w:rsidR="0007339A" w:rsidRPr="00DA2326" w:rsidRDefault="0007339A" w:rsidP="00DA2326">
          <w:pPr>
            <w:pStyle w:val="TOC2"/>
            <w:tabs>
              <w:tab w:val="right" w:leader="dot" w:pos="8498"/>
            </w:tabs>
            <w:spacing w:line="276" w:lineRule="auto"/>
            <w:rPr>
              <w:rFonts w:asciiTheme="minorHAnsi" w:eastAsiaTheme="minorEastAsia" w:hAnsiTheme="minorHAnsi" w:cstheme="minorBidi"/>
              <w:b w:val="0"/>
              <w:bCs w:val="0"/>
              <w:noProof/>
              <w:kern w:val="2"/>
              <w:sz w:val="24"/>
              <w:szCs w:val="24"/>
              <w:lang w:val="ru-KZ" w:eastAsia="zh-CN" w:bidi="bn-IN"/>
              <w14:ligatures w14:val="standardContextual"/>
            </w:rPr>
          </w:pPr>
          <w:hyperlink w:anchor="_Toc227014980" w:history="1">
            <w:r w:rsidRPr="00DA2326">
              <w:rPr>
                <w:rStyle w:val="Hyperlink"/>
                <w:noProof/>
                <w:sz w:val="24"/>
                <w:szCs w:val="24"/>
                <w:lang w:val="en-US"/>
              </w:rPr>
              <w:t>1.3 Structural diversity and functional complexity of VDR ligands</w:t>
            </w:r>
            <w:r w:rsidRPr="00DA2326">
              <w:rPr>
                <w:noProof/>
                <w:webHidden/>
                <w:sz w:val="24"/>
                <w:szCs w:val="24"/>
              </w:rPr>
              <w:tab/>
            </w:r>
            <w:r w:rsidRPr="00DA2326">
              <w:rPr>
                <w:noProof/>
                <w:webHidden/>
                <w:sz w:val="24"/>
                <w:szCs w:val="24"/>
              </w:rPr>
              <w:fldChar w:fldCharType="begin"/>
            </w:r>
            <w:r w:rsidRPr="00DA2326">
              <w:rPr>
                <w:noProof/>
                <w:webHidden/>
                <w:sz w:val="24"/>
                <w:szCs w:val="24"/>
              </w:rPr>
              <w:instrText xml:space="preserve"> PAGEREF _Toc227014980 \h </w:instrText>
            </w:r>
            <w:r w:rsidRPr="00DA2326">
              <w:rPr>
                <w:noProof/>
                <w:webHidden/>
                <w:sz w:val="24"/>
                <w:szCs w:val="24"/>
              </w:rPr>
            </w:r>
            <w:r w:rsidRPr="00DA2326">
              <w:rPr>
                <w:noProof/>
                <w:webHidden/>
                <w:sz w:val="24"/>
                <w:szCs w:val="24"/>
              </w:rPr>
              <w:fldChar w:fldCharType="separate"/>
            </w:r>
            <w:r w:rsidRPr="00DA2326">
              <w:rPr>
                <w:noProof/>
                <w:webHidden/>
                <w:sz w:val="24"/>
                <w:szCs w:val="24"/>
              </w:rPr>
              <w:t>4</w:t>
            </w:r>
            <w:r w:rsidRPr="00DA2326">
              <w:rPr>
                <w:noProof/>
                <w:webHidden/>
                <w:sz w:val="24"/>
                <w:szCs w:val="24"/>
              </w:rPr>
              <w:fldChar w:fldCharType="end"/>
            </w:r>
          </w:hyperlink>
        </w:p>
        <w:p w14:paraId="31A075B3" w14:textId="105BC9B2" w:rsidR="0007339A" w:rsidRPr="00DA2326" w:rsidRDefault="0007339A" w:rsidP="00DA2326">
          <w:pPr>
            <w:pStyle w:val="TOC2"/>
            <w:tabs>
              <w:tab w:val="right" w:leader="dot" w:pos="8498"/>
            </w:tabs>
            <w:spacing w:line="276" w:lineRule="auto"/>
            <w:rPr>
              <w:rFonts w:asciiTheme="minorHAnsi" w:eastAsiaTheme="minorEastAsia" w:hAnsiTheme="minorHAnsi" w:cstheme="minorBidi"/>
              <w:b w:val="0"/>
              <w:bCs w:val="0"/>
              <w:noProof/>
              <w:kern w:val="2"/>
              <w:sz w:val="24"/>
              <w:szCs w:val="24"/>
              <w:lang w:val="ru-KZ" w:eastAsia="zh-CN" w:bidi="bn-IN"/>
              <w14:ligatures w14:val="standardContextual"/>
            </w:rPr>
          </w:pPr>
          <w:hyperlink w:anchor="_Toc227014981" w:history="1">
            <w:r w:rsidRPr="00DA2326">
              <w:rPr>
                <w:rStyle w:val="Hyperlink"/>
                <w:noProof/>
                <w:sz w:val="24"/>
                <w:szCs w:val="24"/>
                <w:lang w:val="en-US"/>
              </w:rPr>
              <w:t>1.4 Role of computational and chemoinformatics approaches in VDR ligand research</w:t>
            </w:r>
            <w:r w:rsidRPr="00DA2326">
              <w:rPr>
                <w:noProof/>
                <w:webHidden/>
                <w:sz w:val="24"/>
                <w:szCs w:val="24"/>
              </w:rPr>
              <w:tab/>
            </w:r>
            <w:r w:rsidRPr="00DA2326">
              <w:rPr>
                <w:noProof/>
                <w:webHidden/>
                <w:sz w:val="24"/>
                <w:szCs w:val="24"/>
              </w:rPr>
              <w:fldChar w:fldCharType="begin"/>
            </w:r>
            <w:r w:rsidRPr="00DA2326">
              <w:rPr>
                <w:noProof/>
                <w:webHidden/>
                <w:sz w:val="24"/>
                <w:szCs w:val="24"/>
              </w:rPr>
              <w:instrText xml:space="preserve"> PAGEREF _Toc227014981 \h </w:instrText>
            </w:r>
            <w:r w:rsidRPr="00DA2326">
              <w:rPr>
                <w:noProof/>
                <w:webHidden/>
                <w:sz w:val="24"/>
                <w:szCs w:val="24"/>
              </w:rPr>
            </w:r>
            <w:r w:rsidRPr="00DA2326">
              <w:rPr>
                <w:noProof/>
                <w:webHidden/>
                <w:sz w:val="24"/>
                <w:szCs w:val="24"/>
              </w:rPr>
              <w:fldChar w:fldCharType="separate"/>
            </w:r>
            <w:r w:rsidRPr="00DA2326">
              <w:rPr>
                <w:noProof/>
                <w:webHidden/>
                <w:sz w:val="24"/>
                <w:szCs w:val="24"/>
              </w:rPr>
              <w:t>5</w:t>
            </w:r>
            <w:r w:rsidRPr="00DA2326">
              <w:rPr>
                <w:noProof/>
                <w:webHidden/>
                <w:sz w:val="24"/>
                <w:szCs w:val="24"/>
              </w:rPr>
              <w:fldChar w:fldCharType="end"/>
            </w:r>
          </w:hyperlink>
        </w:p>
        <w:p w14:paraId="73D01B95" w14:textId="637D6318" w:rsidR="0007339A" w:rsidRPr="00DA2326" w:rsidRDefault="0007339A" w:rsidP="00DA2326">
          <w:pPr>
            <w:pStyle w:val="TOC1"/>
            <w:tabs>
              <w:tab w:val="left" w:pos="960"/>
              <w:tab w:val="right" w:leader="dot" w:pos="8498"/>
            </w:tabs>
            <w:spacing w:line="276" w:lineRule="auto"/>
            <w:rPr>
              <w:rFonts w:asciiTheme="minorHAnsi" w:eastAsiaTheme="minorEastAsia" w:hAnsiTheme="minorHAnsi" w:cstheme="minorBidi"/>
              <w:b w:val="0"/>
              <w:bCs w:val="0"/>
              <w:noProof/>
              <w:kern w:val="2"/>
              <w:sz w:val="24"/>
              <w:szCs w:val="24"/>
              <w:lang w:val="ru-KZ" w:eastAsia="zh-CN" w:bidi="bn-IN"/>
              <w14:ligatures w14:val="standardContextual"/>
            </w:rPr>
          </w:pPr>
          <w:hyperlink w:anchor="_Toc227014982" w:history="1">
            <w:r w:rsidRPr="00DA2326">
              <w:rPr>
                <w:rStyle w:val="Hyperlink"/>
                <w:noProof/>
                <w:sz w:val="24"/>
                <w:szCs w:val="24"/>
                <w:lang w:val="en-US"/>
              </w:rPr>
              <w:t>2.</w:t>
            </w:r>
            <w:r w:rsidRPr="00DA2326">
              <w:rPr>
                <w:rFonts w:asciiTheme="minorHAnsi" w:eastAsiaTheme="minorEastAsia" w:hAnsiTheme="minorHAnsi" w:cstheme="minorBidi"/>
                <w:b w:val="0"/>
                <w:bCs w:val="0"/>
                <w:noProof/>
                <w:kern w:val="2"/>
                <w:sz w:val="24"/>
                <w:szCs w:val="24"/>
                <w:lang w:val="ru-KZ" w:eastAsia="zh-CN" w:bidi="bn-IN"/>
                <w14:ligatures w14:val="standardContextual"/>
              </w:rPr>
              <w:tab/>
            </w:r>
            <w:r w:rsidRPr="00DA2326">
              <w:rPr>
                <w:rStyle w:val="Hyperlink"/>
                <w:noProof/>
                <w:sz w:val="24"/>
                <w:szCs w:val="24"/>
                <w:lang w:val="en-US"/>
              </w:rPr>
              <w:t>AIMS OF THE THESIS PROJECT</w:t>
            </w:r>
            <w:r w:rsidRPr="00DA2326">
              <w:rPr>
                <w:noProof/>
                <w:webHidden/>
                <w:sz w:val="24"/>
                <w:szCs w:val="24"/>
              </w:rPr>
              <w:tab/>
            </w:r>
            <w:r w:rsidRPr="00DA2326">
              <w:rPr>
                <w:noProof/>
                <w:webHidden/>
                <w:sz w:val="24"/>
                <w:szCs w:val="24"/>
              </w:rPr>
              <w:fldChar w:fldCharType="begin"/>
            </w:r>
            <w:r w:rsidRPr="00DA2326">
              <w:rPr>
                <w:noProof/>
                <w:webHidden/>
                <w:sz w:val="24"/>
                <w:szCs w:val="24"/>
              </w:rPr>
              <w:instrText xml:space="preserve"> PAGEREF _Toc227014982 \h </w:instrText>
            </w:r>
            <w:r w:rsidRPr="00DA2326">
              <w:rPr>
                <w:noProof/>
                <w:webHidden/>
                <w:sz w:val="24"/>
                <w:szCs w:val="24"/>
              </w:rPr>
            </w:r>
            <w:r w:rsidRPr="00DA2326">
              <w:rPr>
                <w:noProof/>
                <w:webHidden/>
                <w:sz w:val="24"/>
                <w:szCs w:val="24"/>
              </w:rPr>
              <w:fldChar w:fldCharType="separate"/>
            </w:r>
            <w:r w:rsidRPr="00DA2326">
              <w:rPr>
                <w:noProof/>
                <w:webHidden/>
                <w:sz w:val="24"/>
                <w:szCs w:val="24"/>
              </w:rPr>
              <w:t>7</w:t>
            </w:r>
            <w:r w:rsidRPr="00DA2326">
              <w:rPr>
                <w:noProof/>
                <w:webHidden/>
                <w:sz w:val="24"/>
                <w:szCs w:val="24"/>
              </w:rPr>
              <w:fldChar w:fldCharType="end"/>
            </w:r>
          </w:hyperlink>
        </w:p>
        <w:p w14:paraId="11BF0EE1" w14:textId="6E439C9A" w:rsidR="0007339A" w:rsidRPr="00DA2326" w:rsidRDefault="0007339A" w:rsidP="00DA2326">
          <w:pPr>
            <w:pStyle w:val="TOC1"/>
            <w:tabs>
              <w:tab w:val="left" w:pos="960"/>
              <w:tab w:val="right" w:leader="dot" w:pos="8498"/>
            </w:tabs>
            <w:spacing w:line="276" w:lineRule="auto"/>
            <w:rPr>
              <w:rFonts w:asciiTheme="minorHAnsi" w:eastAsiaTheme="minorEastAsia" w:hAnsiTheme="minorHAnsi" w:cstheme="minorBidi"/>
              <w:b w:val="0"/>
              <w:bCs w:val="0"/>
              <w:noProof/>
              <w:kern w:val="2"/>
              <w:sz w:val="24"/>
              <w:szCs w:val="24"/>
              <w:lang w:val="ru-KZ" w:eastAsia="zh-CN" w:bidi="bn-IN"/>
              <w14:ligatures w14:val="standardContextual"/>
            </w:rPr>
          </w:pPr>
          <w:hyperlink w:anchor="_Toc227014983" w:history="1">
            <w:r w:rsidRPr="00DA2326">
              <w:rPr>
                <w:rStyle w:val="Hyperlink"/>
                <w:noProof/>
                <w:sz w:val="24"/>
                <w:szCs w:val="24"/>
                <w:lang w:val="en-US"/>
              </w:rPr>
              <w:t>3.</w:t>
            </w:r>
            <w:r w:rsidRPr="00DA2326">
              <w:rPr>
                <w:rFonts w:asciiTheme="minorHAnsi" w:eastAsiaTheme="minorEastAsia" w:hAnsiTheme="minorHAnsi" w:cstheme="minorBidi"/>
                <w:b w:val="0"/>
                <w:bCs w:val="0"/>
                <w:noProof/>
                <w:kern w:val="2"/>
                <w:sz w:val="24"/>
                <w:szCs w:val="24"/>
                <w:lang w:val="ru-KZ" w:eastAsia="zh-CN" w:bidi="bn-IN"/>
                <w14:ligatures w14:val="standardContextual"/>
              </w:rPr>
              <w:tab/>
            </w:r>
            <w:r w:rsidRPr="00DA2326">
              <w:rPr>
                <w:rStyle w:val="Hyperlink"/>
                <w:noProof/>
                <w:sz w:val="24"/>
                <w:szCs w:val="24"/>
                <w:lang w:val="en-US"/>
              </w:rPr>
              <w:t>MATERIALS AND METHODS</w:t>
            </w:r>
            <w:r w:rsidRPr="00DA2326">
              <w:rPr>
                <w:noProof/>
                <w:webHidden/>
                <w:sz w:val="24"/>
                <w:szCs w:val="24"/>
              </w:rPr>
              <w:tab/>
            </w:r>
            <w:r w:rsidRPr="00DA2326">
              <w:rPr>
                <w:noProof/>
                <w:webHidden/>
                <w:sz w:val="24"/>
                <w:szCs w:val="24"/>
              </w:rPr>
              <w:fldChar w:fldCharType="begin"/>
            </w:r>
            <w:r w:rsidRPr="00DA2326">
              <w:rPr>
                <w:noProof/>
                <w:webHidden/>
                <w:sz w:val="24"/>
                <w:szCs w:val="24"/>
              </w:rPr>
              <w:instrText xml:space="preserve"> PAGEREF _Toc227014983 \h </w:instrText>
            </w:r>
            <w:r w:rsidRPr="00DA2326">
              <w:rPr>
                <w:noProof/>
                <w:webHidden/>
                <w:sz w:val="24"/>
                <w:szCs w:val="24"/>
              </w:rPr>
            </w:r>
            <w:r w:rsidRPr="00DA2326">
              <w:rPr>
                <w:noProof/>
                <w:webHidden/>
                <w:sz w:val="24"/>
                <w:szCs w:val="24"/>
              </w:rPr>
              <w:fldChar w:fldCharType="separate"/>
            </w:r>
            <w:r w:rsidRPr="00DA2326">
              <w:rPr>
                <w:noProof/>
                <w:webHidden/>
                <w:sz w:val="24"/>
                <w:szCs w:val="24"/>
              </w:rPr>
              <w:t>8</w:t>
            </w:r>
            <w:r w:rsidRPr="00DA2326">
              <w:rPr>
                <w:noProof/>
                <w:webHidden/>
                <w:sz w:val="24"/>
                <w:szCs w:val="24"/>
              </w:rPr>
              <w:fldChar w:fldCharType="end"/>
            </w:r>
          </w:hyperlink>
        </w:p>
        <w:p w14:paraId="69AA8901" w14:textId="2F8A700A" w:rsidR="0007339A" w:rsidRPr="00DA2326" w:rsidRDefault="0007339A" w:rsidP="00DA2326">
          <w:pPr>
            <w:pStyle w:val="TOC2"/>
            <w:tabs>
              <w:tab w:val="right" w:leader="dot" w:pos="8498"/>
            </w:tabs>
            <w:spacing w:line="276" w:lineRule="auto"/>
            <w:rPr>
              <w:rFonts w:asciiTheme="minorHAnsi" w:eastAsiaTheme="minorEastAsia" w:hAnsiTheme="minorHAnsi" w:cstheme="minorBidi"/>
              <w:b w:val="0"/>
              <w:bCs w:val="0"/>
              <w:noProof/>
              <w:kern w:val="2"/>
              <w:sz w:val="24"/>
              <w:szCs w:val="24"/>
              <w:lang w:val="ru-KZ" w:eastAsia="zh-CN" w:bidi="bn-IN"/>
              <w14:ligatures w14:val="standardContextual"/>
            </w:rPr>
          </w:pPr>
          <w:hyperlink w:anchor="_Toc227014984" w:history="1">
            <w:r w:rsidRPr="00DA2326">
              <w:rPr>
                <w:rStyle w:val="Hyperlink"/>
                <w:noProof/>
                <w:sz w:val="24"/>
                <w:szCs w:val="24"/>
                <w:lang w:val="en-US"/>
              </w:rPr>
              <w:t>3.1 Ligand structure preparation and standardization</w:t>
            </w:r>
            <w:r w:rsidRPr="00DA2326">
              <w:rPr>
                <w:noProof/>
                <w:webHidden/>
                <w:sz w:val="24"/>
                <w:szCs w:val="24"/>
              </w:rPr>
              <w:tab/>
            </w:r>
            <w:r w:rsidRPr="00DA2326">
              <w:rPr>
                <w:noProof/>
                <w:webHidden/>
                <w:sz w:val="24"/>
                <w:szCs w:val="24"/>
              </w:rPr>
              <w:fldChar w:fldCharType="begin"/>
            </w:r>
            <w:r w:rsidRPr="00DA2326">
              <w:rPr>
                <w:noProof/>
                <w:webHidden/>
                <w:sz w:val="24"/>
                <w:szCs w:val="24"/>
              </w:rPr>
              <w:instrText xml:space="preserve"> PAGEREF _Toc227014984 \h </w:instrText>
            </w:r>
            <w:r w:rsidRPr="00DA2326">
              <w:rPr>
                <w:noProof/>
                <w:webHidden/>
                <w:sz w:val="24"/>
                <w:szCs w:val="24"/>
              </w:rPr>
            </w:r>
            <w:r w:rsidRPr="00DA2326">
              <w:rPr>
                <w:noProof/>
                <w:webHidden/>
                <w:sz w:val="24"/>
                <w:szCs w:val="24"/>
              </w:rPr>
              <w:fldChar w:fldCharType="separate"/>
            </w:r>
            <w:r w:rsidRPr="00DA2326">
              <w:rPr>
                <w:noProof/>
                <w:webHidden/>
                <w:sz w:val="24"/>
                <w:szCs w:val="24"/>
              </w:rPr>
              <w:t>8</w:t>
            </w:r>
            <w:r w:rsidRPr="00DA2326">
              <w:rPr>
                <w:noProof/>
                <w:webHidden/>
                <w:sz w:val="24"/>
                <w:szCs w:val="24"/>
              </w:rPr>
              <w:fldChar w:fldCharType="end"/>
            </w:r>
          </w:hyperlink>
        </w:p>
        <w:p w14:paraId="4E56DF34" w14:textId="29A2507C" w:rsidR="0007339A" w:rsidRPr="00DA2326" w:rsidRDefault="0007339A" w:rsidP="00DA2326">
          <w:pPr>
            <w:pStyle w:val="TOC2"/>
            <w:tabs>
              <w:tab w:val="right" w:leader="dot" w:pos="8498"/>
            </w:tabs>
            <w:spacing w:line="276" w:lineRule="auto"/>
            <w:rPr>
              <w:rFonts w:asciiTheme="minorHAnsi" w:eastAsiaTheme="minorEastAsia" w:hAnsiTheme="minorHAnsi" w:cstheme="minorBidi"/>
              <w:b w:val="0"/>
              <w:bCs w:val="0"/>
              <w:noProof/>
              <w:kern w:val="2"/>
              <w:sz w:val="24"/>
              <w:szCs w:val="24"/>
              <w:lang w:val="ru-KZ" w:eastAsia="zh-CN" w:bidi="bn-IN"/>
              <w14:ligatures w14:val="standardContextual"/>
            </w:rPr>
          </w:pPr>
          <w:hyperlink w:anchor="_Toc227014985" w:history="1">
            <w:r w:rsidRPr="00DA2326">
              <w:rPr>
                <w:rStyle w:val="Hyperlink"/>
                <w:noProof/>
                <w:sz w:val="24"/>
                <w:szCs w:val="24"/>
                <w:lang w:val="en-US"/>
              </w:rPr>
              <w:t>3.2 Calculation and validation of physico-chemical descriptors</w:t>
            </w:r>
            <w:r w:rsidRPr="00DA2326">
              <w:rPr>
                <w:noProof/>
                <w:webHidden/>
                <w:sz w:val="24"/>
                <w:szCs w:val="24"/>
              </w:rPr>
              <w:tab/>
            </w:r>
            <w:r w:rsidRPr="00DA2326">
              <w:rPr>
                <w:noProof/>
                <w:webHidden/>
                <w:sz w:val="24"/>
                <w:szCs w:val="24"/>
              </w:rPr>
              <w:fldChar w:fldCharType="begin"/>
            </w:r>
            <w:r w:rsidRPr="00DA2326">
              <w:rPr>
                <w:noProof/>
                <w:webHidden/>
                <w:sz w:val="24"/>
                <w:szCs w:val="24"/>
              </w:rPr>
              <w:instrText xml:space="preserve"> PAGEREF _Toc227014985 \h </w:instrText>
            </w:r>
            <w:r w:rsidRPr="00DA2326">
              <w:rPr>
                <w:noProof/>
                <w:webHidden/>
                <w:sz w:val="24"/>
                <w:szCs w:val="24"/>
              </w:rPr>
            </w:r>
            <w:r w:rsidRPr="00DA2326">
              <w:rPr>
                <w:noProof/>
                <w:webHidden/>
                <w:sz w:val="24"/>
                <w:szCs w:val="24"/>
              </w:rPr>
              <w:fldChar w:fldCharType="separate"/>
            </w:r>
            <w:r w:rsidRPr="00DA2326">
              <w:rPr>
                <w:noProof/>
                <w:webHidden/>
                <w:sz w:val="24"/>
                <w:szCs w:val="24"/>
              </w:rPr>
              <w:t>8</w:t>
            </w:r>
            <w:r w:rsidRPr="00DA2326">
              <w:rPr>
                <w:noProof/>
                <w:webHidden/>
                <w:sz w:val="24"/>
                <w:szCs w:val="24"/>
              </w:rPr>
              <w:fldChar w:fldCharType="end"/>
            </w:r>
          </w:hyperlink>
        </w:p>
        <w:p w14:paraId="75BDA0AF" w14:textId="50F68F9C" w:rsidR="0007339A" w:rsidRPr="00DA2326" w:rsidRDefault="0007339A" w:rsidP="00DA2326">
          <w:pPr>
            <w:pStyle w:val="TOC2"/>
            <w:tabs>
              <w:tab w:val="right" w:leader="dot" w:pos="8498"/>
            </w:tabs>
            <w:spacing w:line="276" w:lineRule="auto"/>
            <w:rPr>
              <w:rFonts w:asciiTheme="minorHAnsi" w:eastAsiaTheme="minorEastAsia" w:hAnsiTheme="minorHAnsi" w:cstheme="minorBidi"/>
              <w:b w:val="0"/>
              <w:bCs w:val="0"/>
              <w:noProof/>
              <w:kern w:val="2"/>
              <w:sz w:val="24"/>
              <w:szCs w:val="24"/>
              <w:lang w:val="ru-KZ" w:eastAsia="zh-CN" w:bidi="bn-IN"/>
              <w14:ligatures w14:val="standardContextual"/>
            </w:rPr>
          </w:pPr>
          <w:hyperlink w:anchor="_Toc227014986" w:history="1">
            <w:r w:rsidRPr="00DA2326">
              <w:rPr>
                <w:rStyle w:val="Hyperlink"/>
                <w:noProof/>
                <w:sz w:val="24"/>
                <w:szCs w:val="24"/>
                <w:lang w:val="en-US"/>
              </w:rPr>
              <w:t>3.3 Evaluation of natural product–likeness</w:t>
            </w:r>
            <w:r w:rsidRPr="00DA2326">
              <w:rPr>
                <w:noProof/>
                <w:webHidden/>
                <w:sz w:val="24"/>
                <w:szCs w:val="24"/>
              </w:rPr>
              <w:tab/>
            </w:r>
            <w:r w:rsidRPr="00DA2326">
              <w:rPr>
                <w:noProof/>
                <w:webHidden/>
                <w:sz w:val="24"/>
                <w:szCs w:val="24"/>
              </w:rPr>
              <w:fldChar w:fldCharType="begin"/>
            </w:r>
            <w:r w:rsidRPr="00DA2326">
              <w:rPr>
                <w:noProof/>
                <w:webHidden/>
                <w:sz w:val="24"/>
                <w:szCs w:val="24"/>
              </w:rPr>
              <w:instrText xml:space="preserve"> PAGEREF _Toc227014986 \h </w:instrText>
            </w:r>
            <w:r w:rsidRPr="00DA2326">
              <w:rPr>
                <w:noProof/>
                <w:webHidden/>
                <w:sz w:val="24"/>
                <w:szCs w:val="24"/>
              </w:rPr>
            </w:r>
            <w:r w:rsidRPr="00DA2326">
              <w:rPr>
                <w:noProof/>
                <w:webHidden/>
                <w:sz w:val="24"/>
                <w:szCs w:val="24"/>
              </w:rPr>
              <w:fldChar w:fldCharType="separate"/>
            </w:r>
            <w:r w:rsidRPr="00DA2326">
              <w:rPr>
                <w:noProof/>
                <w:webHidden/>
                <w:sz w:val="24"/>
                <w:szCs w:val="24"/>
              </w:rPr>
              <w:t>9</w:t>
            </w:r>
            <w:r w:rsidRPr="00DA2326">
              <w:rPr>
                <w:noProof/>
                <w:webHidden/>
                <w:sz w:val="24"/>
                <w:szCs w:val="24"/>
              </w:rPr>
              <w:fldChar w:fldCharType="end"/>
            </w:r>
          </w:hyperlink>
        </w:p>
        <w:p w14:paraId="06CA4EC4" w14:textId="20935D56" w:rsidR="0007339A" w:rsidRPr="00DA2326" w:rsidRDefault="0007339A" w:rsidP="00DA2326">
          <w:pPr>
            <w:pStyle w:val="TOC2"/>
            <w:tabs>
              <w:tab w:val="right" w:leader="dot" w:pos="8498"/>
            </w:tabs>
            <w:spacing w:line="276" w:lineRule="auto"/>
            <w:rPr>
              <w:rFonts w:asciiTheme="minorHAnsi" w:eastAsiaTheme="minorEastAsia" w:hAnsiTheme="minorHAnsi" w:cstheme="minorBidi"/>
              <w:b w:val="0"/>
              <w:bCs w:val="0"/>
              <w:noProof/>
              <w:kern w:val="2"/>
              <w:sz w:val="24"/>
              <w:szCs w:val="24"/>
              <w:lang w:val="ru-KZ" w:eastAsia="zh-CN" w:bidi="bn-IN"/>
              <w14:ligatures w14:val="standardContextual"/>
            </w:rPr>
          </w:pPr>
          <w:hyperlink w:anchor="_Toc227014987" w:history="1">
            <w:r w:rsidRPr="00DA2326">
              <w:rPr>
                <w:rStyle w:val="Hyperlink"/>
                <w:noProof/>
                <w:sz w:val="24"/>
                <w:szCs w:val="24"/>
                <w:lang w:val="en-US"/>
              </w:rPr>
              <w:t>3.4 Molecular Fingerprints</w:t>
            </w:r>
            <w:r w:rsidRPr="00DA2326">
              <w:rPr>
                <w:noProof/>
                <w:webHidden/>
                <w:sz w:val="24"/>
                <w:szCs w:val="24"/>
              </w:rPr>
              <w:tab/>
            </w:r>
            <w:r w:rsidRPr="00DA2326">
              <w:rPr>
                <w:noProof/>
                <w:webHidden/>
                <w:sz w:val="24"/>
                <w:szCs w:val="24"/>
              </w:rPr>
              <w:fldChar w:fldCharType="begin"/>
            </w:r>
            <w:r w:rsidRPr="00DA2326">
              <w:rPr>
                <w:noProof/>
                <w:webHidden/>
                <w:sz w:val="24"/>
                <w:szCs w:val="24"/>
              </w:rPr>
              <w:instrText xml:space="preserve"> PAGEREF _Toc227014987 \h </w:instrText>
            </w:r>
            <w:r w:rsidRPr="00DA2326">
              <w:rPr>
                <w:noProof/>
                <w:webHidden/>
                <w:sz w:val="24"/>
                <w:szCs w:val="24"/>
              </w:rPr>
            </w:r>
            <w:r w:rsidRPr="00DA2326">
              <w:rPr>
                <w:noProof/>
                <w:webHidden/>
                <w:sz w:val="24"/>
                <w:szCs w:val="24"/>
              </w:rPr>
              <w:fldChar w:fldCharType="separate"/>
            </w:r>
            <w:r w:rsidRPr="00DA2326">
              <w:rPr>
                <w:noProof/>
                <w:webHidden/>
                <w:sz w:val="24"/>
                <w:szCs w:val="24"/>
              </w:rPr>
              <w:t>10</w:t>
            </w:r>
            <w:r w:rsidRPr="00DA2326">
              <w:rPr>
                <w:noProof/>
                <w:webHidden/>
                <w:sz w:val="24"/>
                <w:szCs w:val="24"/>
              </w:rPr>
              <w:fldChar w:fldCharType="end"/>
            </w:r>
          </w:hyperlink>
        </w:p>
        <w:p w14:paraId="1A3C6BFA" w14:textId="030C1C66" w:rsidR="0007339A" w:rsidRPr="00DA2326" w:rsidRDefault="0007339A" w:rsidP="00DA2326">
          <w:pPr>
            <w:pStyle w:val="TOC2"/>
            <w:tabs>
              <w:tab w:val="right" w:leader="dot" w:pos="8498"/>
            </w:tabs>
            <w:spacing w:line="276" w:lineRule="auto"/>
            <w:rPr>
              <w:rFonts w:asciiTheme="minorHAnsi" w:eastAsiaTheme="minorEastAsia" w:hAnsiTheme="minorHAnsi" w:cstheme="minorBidi"/>
              <w:b w:val="0"/>
              <w:bCs w:val="0"/>
              <w:noProof/>
              <w:kern w:val="2"/>
              <w:sz w:val="24"/>
              <w:szCs w:val="24"/>
              <w:lang w:val="ru-KZ" w:eastAsia="zh-CN" w:bidi="bn-IN"/>
              <w14:ligatures w14:val="standardContextual"/>
            </w:rPr>
          </w:pPr>
          <w:hyperlink w:anchor="_Toc227014988" w:history="1">
            <w:r w:rsidRPr="00DA2326">
              <w:rPr>
                <w:rStyle w:val="Hyperlink"/>
                <w:noProof/>
                <w:sz w:val="24"/>
                <w:szCs w:val="24"/>
                <w:lang w:val="en-US"/>
              </w:rPr>
              <w:t>3.5. Similarity analysis, structural diversity and clustering of VDR ligands</w:t>
            </w:r>
            <w:r w:rsidRPr="00DA2326">
              <w:rPr>
                <w:noProof/>
                <w:webHidden/>
                <w:sz w:val="24"/>
                <w:szCs w:val="24"/>
              </w:rPr>
              <w:tab/>
            </w:r>
            <w:r w:rsidRPr="00DA2326">
              <w:rPr>
                <w:noProof/>
                <w:webHidden/>
                <w:sz w:val="24"/>
                <w:szCs w:val="24"/>
              </w:rPr>
              <w:fldChar w:fldCharType="begin"/>
            </w:r>
            <w:r w:rsidRPr="00DA2326">
              <w:rPr>
                <w:noProof/>
                <w:webHidden/>
                <w:sz w:val="24"/>
                <w:szCs w:val="24"/>
              </w:rPr>
              <w:instrText xml:space="preserve"> PAGEREF _Toc227014988 \h </w:instrText>
            </w:r>
            <w:r w:rsidRPr="00DA2326">
              <w:rPr>
                <w:noProof/>
                <w:webHidden/>
                <w:sz w:val="24"/>
                <w:szCs w:val="24"/>
              </w:rPr>
            </w:r>
            <w:r w:rsidRPr="00DA2326">
              <w:rPr>
                <w:noProof/>
                <w:webHidden/>
                <w:sz w:val="24"/>
                <w:szCs w:val="24"/>
              </w:rPr>
              <w:fldChar w:fldCharType="separate"/>
            </w:r>
            <w:r w:rsidRPr="00DA2326">
              <w:rPr>
                <w:noProof/>
                <w:webHidden/>
                <w:sz w:val="24"/>
                <w:szCs w:val="24"/>
              </w:rPr>
              <w:t>10</w:t>
            </w:r>
            <w:r w:rsidRPr="00DA2326">
              <w:rPr>
                <w:noProof/>
                <w:webHidden/>
                <w:sz w:val="24"/>
                <w:szCs w:val="24"/>
              </w:rPr>
              <w:fldChar w:fldCharType="end"/>
            </w:r>
          </w:hyperlink>
        </w:p>
        <w:p w14:paraId="1B072732" w14:textId="5371CBA2" w:rsidR="0007339A" w:rsidRPr="00DA2326" w:rsidRDefault="0007339A" w:rsidP="00DA2326">
          <w:pPr>
            <w:pStyle w:val="TOC3"/>
            <w:tabs>
              <w:tab w:val="right" w:leader="dot" w:pos="8498"/>
            </w:tabs>
            <w:spacing w:line="276" w:lineRule="auto"/>
            <w:rPr>
              <w:rFonts w:asciiTheme="minorHAnsi" w:eastAsiaTheme="minorEastAsia" w:hAnsiTheme="minorHAnsi" w:cstheme="minorBidi"/>
              <w:b w:val="0"/>
              <w:bCs w:val="0"/>
              <w:noProof/>
              <w:kern w:val="2"/>
              <w:lang w:val="ru-KZ" w:eastAsia="zh-CN" w:bidi="bn-IN"/>
              <w14:ligatures w14:val="standardContextual"/>
            </w:rPr>
          </w:pPr>
          <w:hyperlink w:anchor="_Toc227014989" w:history="1">
            <w:r w:rsidRPr="00DA2326">
              <w:rPr>
                <w:rStyle w:val="Hyperlink"/>
                <w:noProof/>
                <w:lang w:val="en-US"/>
              </w:rPr>
              <w:t>3.5.1. Similarity analysis</w:t>
            </w:r>
            <w:r w:rsidRPr="00DA2326">
              <w:rPr>
                <w:noProof/>
                <w:webHidden/>
              </w:rPr>
              <w:tab/>
            </w:r>
            <w:r w:rsidRPr="00DA2326">
              <w:rPr>
                <w:noProof/>
                <w:webHidden/>
              </w:rPr>
              <w:fldChar w:fldCharType="begin"/>
            </w:r>
            <w:r w:rsidRPr="00DA2326">
              <w:rPr>
                <w:noProof/>
                <w:webHidden/>
              </w:rPr>
              <w:instrText xml:space="preserve"> PAGEREF _Toc227014989 \h </w:instrText>
            </w:r>
            <w:r w:rsidRPr="00DA2326">
              <w:rPr>
                <w:noProof/>
                <w:webHidden/>
              </w:rPr>
            </w:r>
            <w:r w:rsidRPr="00DA2326">
              <w:rPr>
                <w:noProof/>
                <w:webHidden/>
              </w:rPr>
              <w:fldChar w:fldCharType="separate"/>
            </w:r>
            <w:r w:rsidRPr="00DA2326">
              <w:rPr>
                <w:noProof/>
                <w:webHidden/>
              </w:rPr>
              <w:t>10</w:t>
            </w:r>
            <w:r w:rsidRPr="00DA2326">
              <w:rPr>
                <w:noProof/>
                <w:webHidden/>
              </w:rPr>
              <w:fldChar w:fldCharType="end"/>
            </w:r>
          </w:hyperlink>
        </w:p>
        <w:p w14:paraId="7C7766AD" w14:textId="788C7697" w:rsidR="0007339A" w:rsidRPr="00DA2326" w:rsidRDefault="0007339A" w:rsidP="00DA2326">
          <w:pPr>
            <w:pStyle w:val="TOC3"/>
            <w:tabs>
              <w:tab w:val="right" w:leader="dot" w:pos="8498"/>
            </w:tabs>
            <w:spacing w:line="276" w:lineRule="auto"/>
            <w:rPr>
              <w:rFonts w:asciiTheme="minorHAnsi" w:eastAsiaTheme="minorEastAsia" w:hAnsiTheme="minorHAnsi" w:cstheme="minorBidi"/>
              <w:b w:val="0"/>
              <w:bCs w:val="0"/>
              <w:noProof/>
              <w:kern w:val="2"/>
              <w:lang w:val="ru-KZ" w:eastAsia="zh-CN" w:bidi="bn-IN"/>
              <w14:ligatures w14:val="standardContextual"/>
            </w:rPr>
          </w:pPr>
          <w:hyperlink w:anchor="_Toc227014990" w:history="1">
            <w:r w:rsidRPr="00DA2326">
              <w:rPr>
                <w:rStyle w:val="Hyperlink"/>
                <w:noProof/>
                <w:lang w:val="en-US"/>
              </w:rPr>
              <w:t>3.5.2 Clustering analysis</w:t>
            </w:r>
            <w:r w:rsidRPr="00DA2326">
              <w:rPr>
                <w:noProof/>
                <w:webHidden/>
              </w:rPr>
              <w:tab/>
            </w:r>
            <w:r w:rsidRPr="00DA2326">
              <w:rPr>
                <w:noProof/>
                <w:webHidden/>
              </w:rPr>
              <w:fldChar w:fldCharType="begin"/>
            </w:r>
            <w:r w:rsidRPr="00DA2326">
              <w:rPr>
                <w:noProof/>
                <w:webHidden/>
              </w:rPr>
              <w:instrText xml:space="preserve"> PAGEREF _Toc227014990 \h </w:instrText>
            </w:r>
            <w:r w:rsidRPr="00DA2326">
              <w:rPr>
                <w:noProof/>
                <w:webHidden/>
              </w:rPr>
            </w:r>
            <w:r w:rsidRPr="00DA2326">
              <w:rPr>
                <w:noProof/>
                <w:webHidden/>
              </w:rPr>
              <w:fldChar w:fldCharType="separate"/>
            </w:r>
            <w:r w:rsidRPr="00DA2326">
              <w:rPr>
                <w:noProof/>
                <w:webHidden/>
              </w:rPr>
              <w:t>11</w:t>
            </w:r>
            <w:r w:rsidRPr="00DA2326">
              <w:rPr>
                <w:noProof/>
                <w:webHidden/>
              </w:rPr>
              <w:fldChar w:fldCharType="end"/>
            </w:r>
          </w:hyperlink>
        </w:p>
        <w:p w14:paraId="0BAAFFEC" w14:textId="23981C45" w:rsidR="0007339A" w:rsidRPr="00DA2326" w:rsidRDefault="0007339A" w:rsidP="00DA2326">
          <w:pPr>
            <w:pStyle w:val="TOC2"/>
            <w:tabs>
              <w:tab w:val="right" w:leader="dot" w:pos="8498"/>
            </w:tabs>
            <w:spacing w:line="276" w:lineRule="auto"/>
            <w:rPr>
              <w:rFonts w:asciiTheme="minorHAnsi" w:eastAsiaTheme="minorEastAsia" w:hAnsiTheme="minorHAnsi" w:cstheme="minorBidi"/>
              <w:b w:val="0"/>
              <w:bCs w:val="0"/>
              <w:noProof/>
              <w:kern w:val="2"/>
              <w:sz w:val="24"/>
              <w:szCs w:val="24"/>
              <w:lang w:val="ru-KZ" w:eastAsia="zh-CN" w:bidi="bn-IN"/>
              <w14:ligatures w14:val="standardContextual"/>
            </w:rPr>
          </w:pPr>
          <w:hyperlink w:anchor="_Toc227014991" w:history="1">
            <w:r w:rsidRPr="00DA2326">
              <w:rPr>
                <w:rStyle w:val="Hyperlink"/>
                <w:noProof/>
                <w:sz w:val="24"/>
                <w:szCs w:val="24"/>
                <w:lang w:val="en-US"/>
              </w:rPr>
              <w:t>3.6 Physicochemical property analysis across structural categories</w:t>
            </w:r>
            <w:r w:rsidRPr="00DA2326">
              <w:rPr>
                <w:noProof/>
                <w:webHidden/>
                <w:sz w:val="24"/>
                <w:szCs w:val="24"/>
              </w:rPr>
              <w:tab/>
            </w:r>
            <w:r w:rsidRPr="00DA2326">
              <w:rPr>
                <w:noProof/>
                <w:webHidden/>
                <w:sz w:val="24"/>
                <w:szCs w:val="24"/>
              </w:rPr>
              <w:fldChar w:fldCharType="begin"/>
            </w:r>
            <w:r w:rsidRPr="00DA2326">
              <w:rPr>
                <w:noProof/>
                <w:webHidden/>
                <w:sz w:val="24"/>
                <w:szCs w:val="24"/>
              </w:rPr>
              <w:instrText xml:space="preserve"> PAGEREF _Toc227014991 \h </w:instrText>
            </w:r>
            <w:r w:rsidRPr="00DA2326">
              <w:rPr>
                <w:noProof/>
                <w:webHidden/>
                <w:sz w:val="24"/>
                <w:szCs w:val="24"/>
              </w:rPr>
            </w:r>
            <w:r w:rsidRPr="00DA2326">
              <w:rPr>
                <w:noProof/>
                <w:webHidden/>
                <w:sz w:val="24"/>
                <w:szCs w:val="24"/>
              </w:rPr>
              <w:fldChar w:fldCharType="separate"/>
            </w:r>
            <w:r w:rsidRPr="00DA2326">
              <w:rPr>
                <w:noProof/>
                <w:webHidden/>
                <w:sz w:val="24"/>
                <w:szCs w:val="24"/>
              </w:rPr>
              <w:t>12</w:t>
            </w:r>
            <w:r w:rsidRPr="00DA2326">
              <w:rPr>
                <w:noProof/>
                <w:webHidden/>
                <w:sz w:val="24"/>
                <w:szCs w:val="24"/>
              </w:rPr>
              <w:fldChar w:fldCharType="end"/>
            </w:r>
          </w:hyperlink>
        </w:p>
        <w:p w14:paraId="3A28CAFD" w14:textId="056EB21F" w:rsidR="0007339A" w:rsidRPr="00DA2326" w:rsidRDefault="0007339A" w:rsidP="00DA2326">
          <w:pPr>
            <w:pStyle w:val="TOC1"/>
            <w:tabs>
              <w:tab w:val="left" w:pos="960"/>
              <w:tab w:val="right" w:leader="dot" w:pos="8498"/>
            </w:tabs>
            <w:spacing w:line="276" w:lineRule="auto"/>
            <w:rPr>
              <w:rFonts w:asciiTheme="minorHAnsi" w:eastAsiaTheme="minorEastAsia" w:hAnsiTheme="minorHAnsi" w:cstheme="minorBidi"/>
              <w:b w:val="0"/>
              <w:bCs w:val="0"/>
              <w:noProof/>
              <w:kern w:val="2"/>
              <w:sz w:val="24"/>
              <w:szCs w:val="24"/>
              <w:lang w:val="ru-KZ" w:eastAsia="zh-CN" w:bidi="bn-IN"/>
              <w14:ligatures w14:val="standardContextual"/>
            </w:rPr>
          </w:pPr>
          <w:hyperlink w:anchor="_Toc227014992" w:history="1">
            <w:r w:rsidRPr="00DA2326">
              <w:rPr>
                <w:rStyle w:val="Hyperlink"/>
                <w:noProof/>
                <w:sz w:val="24"/>
                <w:szCs w:val="24"/>
                <w:lang w:val="en-US"/>
              </w:rPr>
              <w:t>4.</w:t>
            </w:r>
            <w:r w:rsidRPr="00DA2326">
              <w:rPr>
                <w:rFonts w:asciiTheme="minorHAnsi" w:eastAsiaTheme="minorEastAsia" w:hAnsiTheme="minorHAnsi" w:cstheme="minorBidi"/>
                <w:b w:val="0"/>
                <w:bCs w:val="0"/>
                <w:noProof/>
                <w:kern w:val="2"/>
                <w:sz w:val="24"/>
                <w:szCs w:val="24"/>
                <w:lang w:val="ru-KZ" w:eastAsia="zh-CN" w:bidi="bn-IN"/>
                <w14:ligatures w14:val="standardContextual"/>
              </w:rPr>
              <w:tab/>
            </w:r>
            <w:r w:rsidRPr="00DA2326">
              <w:rPr>
                <w:rStyle w:val="Hyperlink"/>
                <w:noProof/>
                <w:sz w:val="24"/>
                <w:szCs w:val="24"/>
                <w:lang w:val="en-US"/>
              </w:rPr>
              <w:t>RESULTS</w:t>
            </w:r>
            <w:r w:rsidRPr="00DA2326">
              <w:rPr>
                <w:noProof/>
                <w:webHidden/>
                <w:sz w:val="24"/>
                <w:szCs w:val="24"/>
              </w:rPr>
              <w:tab/>
            </w:r>
            <w:r w:rsidRPr="00DA2326">
              <w:rPr>
                <w:noProof/>
                <w:webHidden/>
                <w:sz w:val="24"/>
                <w:szCs w:val="24"/>
              </w:rPr>
              <w:fldChar w:fldCharType="begin"/>
            </w:r>
            <w:r w:rsidRPr="00DA2326">
              <w:rPr>
                <w:noProof/>
                <w:webHidden/>
                <w:sz w:val="24"/>
                <w:szCs w:val="24"/>
              </w:rPr>
              <w:instrText xml:space="preserve"> PAGEREF _Toc227014992 \h </w:instrText>
            </w:r>
            <w:r w:rsidRPr="00DA2326">
              <w:rPr>
                <w:noProof/>
                <w:webHidden/>
                <w:sz w:val="24"/>
                <w:szCs w:val="24"/>
              </w:rPr>
            </w:r>
            <w:r w:rsidRPr="00DA2326">
              <w:rPr>
                <w:noProof/>
                <w:webHidden/>
                <w:sz w:val="24"/>
                <w:szCs w:val="24"/>
              </w:rPr>
              <w:fldChar w:fldCharType="separate"/>
            </w:r>
            <w:r w:rsidRPr="00DA2326">
              <w:rPr>
                <w:noProof/>
                <w:webHidden/>
                <w:sz w:val="24"/>
                <w:szCs w:val="24"/>
              </w:rPr>
              <w:t>13</w:t>
            </w:r>
            <w:r w:rsidRPr="00DA2326">
              <w:rPr>
                <w:noProof/>
                <w:webHidden/>
                <w:sz w:val="24"/>
                <w:szCs w:val="24"/>
              </w:rPr>
              <w:fldChar w:fldCharType="end"/>
            </w:r>
          </w:hyperlink>
        </w:p>
        <w:p w14:paraId="4A0025F9" w14:textId="513E22C9" w:rsidR="0007339A" w:rsidRPr="00DA2326" w:rsidRDefault="0007339A" w:rsidP="00DA2326">
          <w:pPr>
            <w:pStyle w:val="TOC2"/>
            <w:tabs>
              <w:tab w:val="right" w:leader="dot" w:pos="8498"/>
            </w:tabs>
            <w:spacing w:line="276" w:lineRule="auto"/>
            <w:rPr>
              <w:rFonts w:asciiTheme="minorHAnsi" w:eastAsiaTheme="minorEastAsia" w:hAnsiTheme="minorHAnsi" w:cstheme="minorBidi"/>
              <w:b w:val="0"/>
              <w:bCs w:val="0"/>
              <w:noProof/>
              <w:kern w:val="2"/>
              <w:sz w:val="24"/>
              <w:szCs w:val="24"/>
              <w:lang w:val="ru-KZ" w:eastAsia="zh-CN" w:bidi="bn-IN"/>
              <w14:ligatures w14:val="standardContextual"/>
            </w:rPr>
          </w:pPr>
          <w:hyperlink w:anchor="_Toc227014993" w:history="1">
            <w:r w:rsidRPr="00DA2326">
              <w:rPr>
                <w:rStyle w:val="Hyperlink"/>
                <w:noProof/>
                <w:sz w:val="24"/>
                <w:szCs w:val="24"/>
                <w:lang w:val="en-US"/>
              </w:rPr>
              <w:t>4.1. Curation and general characterization of the VDR ligand dataset</w:t>
            </w:r>
            <w:r w:rsidRPr="00DA2326">
              <w:rPr>
                <w:noProof/>
                <w:webHidden/>
                <w:sz w:val="24"/>
                <w:szCs w:val="24"/>
              </w:rPr>
              <w:tab/>
            </w:r>
            <w:r w:rsidRPr="00DA2326">
              <w:rPr>
                <w:noProof/>
                <w:webHidden/>
                <w:sz w:val="24"/>
                <w:szCs w:val="24"/>
              </w:rPr>
              <w:fldChar w:fldCharType="begin"/>
            </w:r>
            <w:r w:rsidRPr="00DA2326">
              <w:rPr>
                <w:noProof/>
                <w:webHidden/>
                <w:sz w:val="24"/>
                <w:szCs w:val="24"/>
              </w:rPr>
              <w:instrText xml:space="preserve"> PAGEREF _Toc227014993 \h </w:instrText>
            </w:r>
            <w:r w:rsidRPr="00DA2326">
              <w:rPr>
                <w:noProof/>
                <w:webHidden/>
                <w:sz w:val="24"/>
                <w:szCs w:val="24"/>
              </w:rPr>
            </w:r>
            <w:r w:rsidRPr="00DA2326">
              <w:rPr>
                <w:noProof/>
                <w:webHidden/>
                <w:sz w:val="24"/>
                <w:szCs w:val="24"/>
              </w:rPr>
              <w:fldChar w:fldCharType="separate"/>
            </w:r>
            <w:r w:rsidRPr="00DA2326">
              <w:rPr>
                <w:noProof/>
                <w:webHidden/>
                <w:sz w:val="24"/>
                <w:szCs w:val="24"/>
              </w:rPr>
              <w:t>13</w:t>
            </w:r>
            <w:r w:rsidRPr="00DA2326">
              <w:rPr>
                <w:noProof/>
                <w:webHidden/>
                <w:sz w:val="24"/>
                <w:szCs w:val="24"/>
              </w:rPr>
              <w:fldChar w:fldCharType="end"/>
            </w:r>
          </w:hyperlink>
        </w:p>
        <w:p w14:paraId="02BDA80A" w14:textId="621AC37B" w:rsidR="0007339A" w:rsidRPr="00DA2326" w:rsidRDefault="0007339A" w:rsidP="00DA2326">
          <w:pPr>
            <w:pStyle w:val="TOC2"/>
            <w:tabs>
              <w:tab w:val="right" w:leader="dot" w:pos="8498"/>
            </w:tabs>
            <w:spacing w:line="276" w:lineRule="auto"/>
            <w:rPr>
              <w:rFonts w:asciiTheme="minorHAnsi" w:eastAsiaTheme="minorEastAsia" w:hAnsiTheme="minorHAnsi" w:cstheme="minorBidi"/>
              <w:b w:val="0"/>
              <w:bCs w:val="0"/>
              <w:noProof/>
              <w:kern w:val="2"/>
              <w:sz w:val="24"/>
              <w:szCs w:val="24"/>
              <w:lang w:val="ru-KZ" w:eastAsia="zh-CN" w:bidi="bn-IN"/>
              <w14:ligatures w14:val="standardContextual"/>
            </w:rPr>
          </w:pPr>
          <w:hyperlink w:anchor="_Toc227014994" w:history="1">
            <w:r w:rsidRPr="00DA2326">
              <w:rPr>
                <w:rStyle w:val="Hyperlink"/>
                <w:noProof/>
                <w:sz w:val="24"/>
                <w:szCs w:val="24"/>
                <w:lang w:val="en-US"/>
              </w:rPr>
              <w:t>4.2. Molecular property profiling of VDR ligands</w:t>
            </w:r>
            <w:r w:rsidRPr="00DA2326">
              <w:rPr>
                <w:noProof/>
                <w:webHidden/>
                <w:sz w:val="24"/>
                <w:szCs w:val="24"/>
              </w:rPr>
              <w:tab/>
            </w:r>
            <w:r w:rsidRPr="00DA2326">
              <w:rPr>
                <w:noProof/>
                <w:webHidden/>
                <w:sz w:val="24"/>
                <w:szCs w:val="24"/>
              </w:rPr>
              <w:fldChar w:fldCharType="begin"/>
            </w:r>
            <w:r w:rsidRPr="00DA2326">
              <w:rPr>
                <w:noProof/>
                <w:webHidden/>
                <w:sz w:val="24"/>
                <w:szCs w:val="24"/>
              </w:rPr>
              <w:instrText xml:space="preserve"> PAGEREF _Toc227014994 \h </w:instrText>
            </w:r>
            <w:r w:rsidRPr="00DA2326">
              <w:rPr>
                <w:noProof/>
                <w:webHidden/>
                <w:sz w:val="24"/>
                <w:szCs w:val="24"/>
              </w:rPr>
            </w:r>
            <w:r w:rsidRPr="00DA2326">
              <w:rPr>
                <w:noProof/>
                <w:webHidden/>
                <w:sz w:val="24"/>
                <w:szCs w:val="24"/>
              </w:rPr>
              <w:fldChar w:fldCharType="separate"/>
            </w:r>
            <w:r w:rsidRPr="00DA2326">
              <w:rPr>
                <w:noProof/>
                <w:webHidden/>
                <w:sz w:val="24"/>
                <w:szCs w:val="24"/>
              </w:rPr>
              <w:t>14</w:t>
            </w:r>
            <w:r w:rsidRPr="00DA2326">
              <w:rPr>
                <w:noProof/>
                <w:webHidden/>
                <w:sz w:val="24"/>
                <w:szCs w:val="24"/>
              </w:rPr>
              <w:fldChar w:fldCharType="end"/>
            </w:r>
          </w:hyperlink>
        </w:p>
        <w:p w14:paraId="40E42E4C" w14:textId="6501F17B" w:rsidR="0007339A" w:rsidRPr="00DA2326" w:rsidRDefault="0007339A" w:rsidP="00DA2326">
          <w:pPr>
            <w:pStyle w:val="TOC3"/>
            <w:tabs>
              <w:tab w:val="right" w:leader="dot" w:pos="8498"/>
            </w:tabs>
            <w:spacing w:line="276" w:lineRule="auto"/>
            <w:rPr>
              <w:rFonts w:asciiTheme="minorHAnsi" w:eastAsiaTheme="minorEastAsia" w:hAnsiTheme="minorHAnsi" w:cstheme="minorBidi"/>
              <w:b w:val="0"/>
              <w:bCs w:val="0"/>
              <w:noProof/>
              <w:kern w:val="2"/>
              <w:lang w:val="ru-KZ" w:eastAsia="zh-CN" w:bidi="bn-IN"/>
              <w14:ligatures w14:val="standardContextual"/>
            </w:rPr>
          </w:pPr>
          <w:hyperlink w:anchor="_Toc227014995" w:history="1">
            <w:r w:rsidRPr="00DA2326">
              <w:rPr>
                <w:rStyle w:val="Hyperlink"/>
                <w:noProof/>
                <w:lang w:val="en-US"/>
              </w:rPr>
              <w:t>4.2.1 Physicochemical descriptor distribution</w:t>
            </w:r>
            <w:r w:rsidRPr="00DA2326">
              <w:rPr>
                <w:noProof/>
                <w:webHidden/>
              </w:rPr>
              <w:tab/>
            </w:r>
            <w:r w:rsidRPr="00DA2326">
              <w:rPr>
                <w:noProof/>
                <w:webHidden/>
              </w:rPr>
              <w:fldChar w:fldCharType="begin"/>
            </w:r>
            <w:r w:rsidRPr="00DA2326">
              <w:rPr>
                <w:noProof/>
                <w:webHidden/>
              </w:rPr>
              <w:instrText xml:space="preserve"> PAGEREF _Toc227014995 \h </w:instrText>
            </w:r>
            <w:r w:rsidRPr="00DA2326">
              <w:rPr>
                <w:noProof/>
                <w:webHidden/>
              </w:rPr>
            </w:r>
            <w:r w:rsidRPr="00DA2326">
              <w:rPr>
                <w:noProof/>
                <w:webHidden/>
              </w:rPr>
              <w:fldChar w:fldCharType="separate"/>
            </w:r>
            <w:r w:rsidRPr="00DA2326">
              <w:rPr>
                <w:noProof/>
                <w:webHidden/>
              </w:rPr>
              <w:t>14</w:t>
            </w:r>
            <w:r w:rsidRPr="00DA2326">
              <w:rPr>
                <w:noProof/>
                <w:webHidden/>
              </w:rPr>
              <w:fldChar w:fldCharType="end"/>
            </w:r>
          </w:hyperlink>
        </w:p>
        <w:p w14:paraId="0CD0E8F7" w14:textId="29F9E0D0" w:rsidR="0007339A" w:rsidRPr="00DA2326" w:rsidRDefault="0007339A" w:rsidP="00DA2326">
          <w:pPr>
            <w:pStyle w:val="TOC3"/>
            <w:tabs>
              <w:tab w:val="right" w:leader="dot" w:pos="8498"/>
            </w:tabs>
            <w:spacing w:line="276" w:lineRule="auto"/>
            <w:rPr>
              <w:rFonts w:asciiTheme="minorHAnsi" w:eastAsiaTheme="minorEastAsia" w:hAnsiTheme="minorHAnsi" w:cstheme="minorBidi"/>
              <w:b w:val="0"/>
              <w:bCs w:val="0"/>
              <w:noProof/>
              <w:kern w:val="2"/>
              <w:lang w:val="ru-KZ" w:eastAsia="zh-CN" w:bidi="bn-IN"/>
              <w14:ligatures w14:val="standardContextual"/>
            </w:rPr>
          </w:pPr>
          <w:hyperlink w:anchor="_Toc227014996" w:history="1">
            <w:r w:rsidRPr="00DA2326">
              <w:rPr>
                <w:rStyle w:val="Hyperlink"/>
                <w:noProof/>
                <w:lang w:val="en-US"/>
              </w:rPr>
              <w:t>4.2.3 Natural product–likeness analysis</w:t>
            </w:r>
            <w:r w:rsidRPr="00DA2326">
              <w:rPr>
                <w:noProof/>
                <w:webHidden/>
              </w:rPr>
              <w:tab/>
            </w:r>
            <w:r w:rsidRPr="00DA2326">
              <w:rPr>
                <w:noProof/>
                <w:webHidden/>
              </w:rPr>
              <w:fldChar w:fldCharType="begin"/>
            </w:r>
            <w:r w:rsidRPr="00DA2326">
              <w:rPr>
                <w:noProof/>
                <w:webHidden/>
              </w:rPr>
              <w:instrText xml:space="preserve"> PAGEREF _Toc227014996 \h </w:instrText>
            </w:r>
            <w:r w:rsidRPr="00DA2326">
              <w:rPr>
                <w:noProof/>
                <w:webHidden/>
              </w:rPr>
            </w:r>
            <w:r w:rsidRPr="00DA2326">
              <w:rPr>
                <w:noProof/>
                <w:webHidden/>
              </w:rPr>
              <w:fldChar w:fldCharType="separate"/>
            </w:r>
            <w:r w:rsidRPr="00DA2326">
              <w:rPr>
                <w:noProof/>
                <w:webHidden/>
              </w:rPr>
              <w:t>16</w:t>
            </w:r>
            <w:r w:rsidRPr="00DA2326">
              <w:rPr>
                <w:noProof/>
                <w:webHidden/>
              </w:rPr>
              <w:fldChar w:fldCharType="end"/>
            </w:r>
          </w:hyperlink>
        </w:p>
        <w:p w14:paraId="4585FD8F" w14:textId="124673A5" w:rsidR="0007339A" w:rsidRPr="00DA2326" w:rsidRDefault="0007339A" w:rsidP="00DA2326">
          <w:pPr>
            <w:pStyle w:val="TOC2"/>
            <w:tabs>
              <w:tab w:val="right" w:leader="dot" w:pos="8498"/>
            </w:tabs>
            <w:spacing w:line="276" w:lineRule="auto"/>
            <w:rPr>
              <w:rFonts w:asciiTheme="minorHAnsi" w:eastAsiaTheme="minorEastAsia" w:hAnsiTheme="minorHAnsi" w:cstheme="minorBidi"/>
              <w:b w:val="0"/>
              <w:bCs w:val="0"/>
              <w:noProof/>
              <w:kern w:val="2"/>
              <w:sz w:val="24"/>
              <w:szCs w:val="24"/>
              <w:lang w:val="ru-KZ" w:eastAsia="zh-CN" w:bidi="bn-IN"/>
              <w14:ligatures w14:val="standardContextual"/>
            </w:rPr>
          </w:pPr>
          <w:hyperlink w:anchor="_Toc227014997" w:history="1">
            <w:r w:rsidRPr="00DA2326">
              <w:rPr>
                <w:rStyle w:val="Hyperlink"/>
                <w:noProof/>
                <w:sz w:val="24"/>
                <w:szCs w:val="24"/>
                <w:lang w:val="en-US"/>
              </w:rPr>
              <w:t>4.3. Similarity, clustering, and chemical space organization of VDR ligands</w:t>
            </w:r>
            <w:r w:rsidRPr="00DA2326">
              <w:rPr>
                <w:noProof/>
                <w:webHidden/>
                <w:sz w:val="24"/>
                <w:szCs w:val="24"/>
              </w:rPr>
              <w:tab/>
            </w:r>
            <w:r w:rsidRPr="00DA2326">
              <w:rPr>
                <w:noProof/>
                <w:webHidden/>
                <w:sz w:val="24"/>
                <w:szCs w:val="24"/>
              </w:rPr>
              <w:fldChar w:fldCharType="begin"/>
            </w:r>
            <w:r w:rsidRPr="00DA2326">
              <w:rPr>
                <w:noProof/>
                <w:webHidden/>
                <w:sz w:val="24"/>
                <w:szCs w:val="24"/>
              </w:rPr>
              <w:instrText xml:space="preserve"> PAGEREF _Toc227014997 \h </w:instrText>
            </w:r>
            <w:r w:rsidRPr="00DA2326">
              <w:rPr>
                <w:noProof/>
                <w:webHidden/>
                <w:sz w:val="24"/>
                <w:szCs w:val="24"/>
              </w:rPr>
            </w:r>
            <w:r w:rsidRPr="00DA2326">
              <w:rPr>
                <w:noProof/>
                <w:webHidden/>
                <w:sz w:val="24"/>
                <w:szCs w:val="24"/>
              </w:rPr>
              <w:fldChar w:fldCharType="separate"/>
            </w:r>
            <w:r w:rsidRPr="00DA2326">
              <w:rPr>
                <w:noProof/>
                <w:webHidden/>
                <w:sz w:val="24"/>
                <w:szCs w:val="24"/>
              </w:rPr>
              <w:t>18</w:t>
            </w:r>
            <w:r w:rsidRPr="00DA2326">
              <w:rPr>
                <w:noProof/>
                <w:webHidden/>
                <w:sz w:val="24"/>
                <w:szCs w:val="24"/>
              </w:rPr>
              <w:fldChar w:fldCharType="end"/>
            </w:r>
          </w:hyperlink>
        </w:p>
        <w:p w14:paraId="405D28C5" w14:textId="30B8ABEC" w:rsidR="0007339A" w:rsidRPr="00DA2326" w:rsidRDefault="0007339A" w:rsidP="00DA2326">
          <w:pPr>
            <w:pStyle w:val="TOC3"/>
            <w:tabs>
              <w:tab w:val="right" w:leader="dot" w:pos="8498"/>
            </w:tabs>
            <w:spacing w:line="276" w:lineRule="auto"/>
            <w:rPr>
              <w:rFonts w:asciiTheme="minorHAnsi" w:eastAsiaTheme="minorEastAsia" w:hAnsiTheme="minorHAnsi" w:cstheme="minorBidi"/>
              <w:b w:val="0"/>
              <w:bCs w:val="0"/>
              <w:noProof/>
              <w:kern w:val="2"/>
              <w:lang w:val="ru-KZ" w:eastAsia="zh-CN" w:bidi="bn-IN"/>
              <w14:ligatures w14:val="standardContextual"/>
            </w:rPr>
          </w:pPr>
          <w:hyperlink w:anchor="_Toc227014998" w:history="1">
            <w:r w:rsidRPr="00DA2326">
              <w:rPr>
                <w:rStyle w:val="Hyperlink"/>
                <w:noProof/>
                <w:lang w:val="en-US"/>
              </w:rPr>
              <w:t>4.3.1 Fingerprint-based similarity analysis</w:t>
            </w:r>
            <w:r w:rsidRPr="00DA2326">
              <w:rPr>
                <w:noProof/>
                <w:webHidden/>
              </w:rPr>
              <w:tab/>
            </w:r>
            <w:r w:rsidRPr="00DA2326">
              <w:rPr>
                <w:noProof/>
                <w:webHidden/>
              </w:rPr>
              <w:fldChar w:fldCharType="begin"/>
            </w:r>
            <w:r w:rsidRPr="00DA2326">
              <w:rPr>
                <w:noProof/>
                <w:webHidden/>
              </w:rPr>
              <w:instrText xml:space="preserve"> PAGEREF _Toc227014998 \h </w:instrText>
            </w:r>
            <w:r w:rsidRPr="00DA2326">
              <w:rPr>
                <w:noProof/>
                <w:webHidden/>
              </w:rPr>
            </w:r>
            <w:r w:rsidRPr="00DA2326">
              <w:rPr>
                <w:noProof/>
                <w:webHidden/>
              </w:rPr>
              <w:fldChar w:fldCharType="separate"/>
            </w:r>
            <w:r w:rsidRPr="00DA2326">
              <w:rPr>
                <w:noProof/>
                <w:webHidden/>
              </w:rPr>
              <w:t>18</w:t>
            </w:r>
            <w:r w:rsidRPr="00DA2326">
              <w:rPr>
                <w:noProof/>
                <w:webHidden/>
              </w:rPr>
              <w:fldChar w:fldCharType="end"/>
            </w:r>
          </w:hyperlink>
        </w:p>
        <w:p w14:paraId="50F1F4E4" w14:textId="4D4AF6E3" w:rsidR="0007339A" w:rsidRPr="00DA2326" w:rsidRDefault="0007339A" w:rsidP="00DA2326">
          <w:pPr>
            <w:pStyle w:val="TOC3"/>
            <w:tabs>
              <w:tab w:val="right" w:leader="dot" w:pos="8498"/>
            </w:tabs>
            <w:spacing w:line="276" w:lineRule="auto"/>
            <w:rPr>
              <w:rFonts w:asciiTheme="minorHAnsi" w:eastAsiaTheme="minorEastAsia" w:hAnsiTheme="minorHAnsi" w:cstheme="minorBidi"/>
              <w:b w:val="0"/>
              <w:bCs w:val="0"/>
              <w:noProof/>
              <w:kern w:val="2"/>
              <w:lang w:val="ru-KZ" w:eastAsia="zh-CN" w:bidi="bn-IN"/>
              <w14:ligatures w14:val="standardContextual"/>
            </w:rPr>
          </w:pPr>
          <w:hyperlink w:anchor="_Toc227014999" w:history="1">
            <w:r w:rsidRPr="00DA2326">
              <w:rPr>
                <w:rStyle w:val="Hyperlink"/>
                <w:noProof/>
                <w:lang w:val="en-US"/>
              </w:rPr>
              <w:t>4.3.2 Clustering patterns of VDR ligands</w:t>
            </w:r>
            <w:r w:rsidRPr="00DA2326">
              <w:rPr>
                <w:noProof/>
                <w:webHidden/>
              </w:rPr>
              <w:tab/>
            </w:r>
            <w:r w:rsidRPr="00DA2326">
              <w:rPr>
                <w:noProof/>
                <w:webHidden/>
              </w:rPr>
              <w:fldChar w:fldCharType="begin"/>
            </w:r>
            <w:r w:rsidRPr="00DA2326">
              <w:rPr>
                <w:noProof/>
                <w:webHidden/>
              </w:rPr>
              <w:instrText xml:space="preserve"> PAGEREF _Toc227014999 \h </w:instrText>
            </w:r>
            <w:r w:rsidRPr="00DA2326">
              <w:rPr>
                <w:noProof/>
                <w:webHidden/>
              </w:rPr>
            </w:r>
            <w:r w:rsidRPr="00DA2326">
              <w:rPr>
                <w:noProof/>
                <w:webHidden/>
              </w:rPr>
              <w:fldChar w:fldCharType="separate"/>
            </w:r>
            <w:r w:rsidRPr="00DA2326">
              <w:rPr>
                <w:noProof/>
                <w:webHidden/>
              </w:rPr>
              <w:t>19</w:t>
            </w:r>
            <w:r w:rsidRPr="00DA2326">
              <w:rPr>
                <w:noProof/>
                <w:webHidden/>
              </w:rPr>
              <w:fldChar w:fldCharType="end"/>
            </w:r>
          </w:hyperlink>
        </w:p>
        <w:p w14:paraId="6D4CBB2C" w14:textId="03EDB298" w:rsidR="0007339A" w:rsidRPr="00DA2326" w:rsidRDefault="0007339A" w:rsidP="00DA2326">
          <w:pPr>
            <w:pStyle w:val="TOC3"/>
            <w:tabs>
              <w:tab w:val="right" w:leader="dot" w:pos="8498"/>
            </w:tabs>
            <w:spacing w:line="276" w:lineRule="auto"/>
            <w:rPr>
              <w:rFonts w:asciiTheme="minorHAnsi" w:eastAsiaTheme="minorEastAsia" w:hAnsiTheme="minorHAnsi" w:cstheme="minorBidi"/>
              <w:b w:val="0"/>
              <w:bCs w:val="0"/>
              <w:noProof/>
              <w:kern w:val="2"/>
              <w:lang w:val="ru-KZ" w:eastAsia="zh-CN" w:bidi="bn-IN"/>
              <w14:ligatures w14:val="standardContextual"/>
            </w:rPr>
          </w:pPr>
          <w:hyperlink w:anchor="_Toc227015000" w:history="1">
            <w:r w:rsidRPr="00DA2326">
              <w:rPr>
                <w:rStyle w:val="Hyperlink"/>
                <w:noProof/>
                <w:lang w:val="en-US"/>
              </w:rPr>
              <w:t>4.3.3 Visualization of chemical space</w:t>
            </w:r>
            <w:r w:rsidRPr="00DA2326">
              <w:rPr>
                <w:noProof/>
                <w:webHidden/>
              </w:rPr>
              <w:tab/>
            </w:r>
            <w:r w:rsidRPr="00DA2326">
              <w:rPr>
                <w:noProof/>
                <w:webHidden/>
              </w:rPr>
              <w:fldChar w:fldCharType="begin"/>
            </w:r>
            <w:r w:rsidRPr="00DA2326">
              <w:rPr>
                <w:noProof/>
                <w:webHidden/>
              </w:rPr>
              <w:instrText xml:space="preserve"> PAGEREF _Toc227015000 \h </w:instrText>
            </w:r>
            <w:r w:rsidRPr="00DA2326">
              <w:rPr>
                <w:noProof/>
                <w:webHidden/>
              </w:rPr>
            </w:r>
            <w:r w:rsidRPr="00DA2326">
              <w:rPr>
                <w:noProof/>
                <w:webHidden/>
              </w:rPr>
              <w:fldChar w:fldCharType="separate"/>
            </w:r>
            <w:r w:rsidRPr="00DA2326">
              <w:rPr>
                <w:noProof/>
                <w:webHidden/>
              </w:rPr>
              <w:t>20</w:t>
            </w:r>
            <w:r w:rsidRPr="00DA2326">
              <w:rPr>
                <w:noProof/>
                <w:webHidden/>
              </w:rPr>
              <w:fldChar w:fldCharType="end"/>
            </w:r>
          </w:hyperlink>
        </w:p>
        <w:p w14:paraId="33B579DA" w14:textId="1C6DC41D" w:rsidR="0007339A" w:rsidRPr="00DA2326" w:rsidRDefault="0007339A" w:rsidP="00DA2326">
          <w:pPr>
            <w:pStyle w:val="TOC2"/>
            <w:tabs>
              <w:tab w:val="right" w:leader="dot" w:pos="8498"/>
            </w:tabs>
            <w:spacing w:line="276" w:lineRule="auto"/>
            <w:rPr>
              <w:rFonts w:asciiTheme="minorHAnsi" w:eastAsiaTheme="minorEastAsia" w:hAnsiTheme="minorHAnsi" w:cstheme="minorBidi"/>
              <w:b w:val="0"/>
              <w:bCs w:val="0"/>
              <w:noProof/>
              <w:kern w:val="2"/>
              <w:sz w:val="24"/>
              <w:szCs w:val="24"/>
              <w:lang w:val="ru-KZ" w:eastAsia="zh-CN" w:bidi="bn-IN"/>
              <w14:ligatures w14:val="standardContextual"/>
            </w:rPr>
          </w:pPr>
          <w:hyperlink w:anchor="_Toc227015001" w:history="1">
            <w:r w:rsidRPr="00DA2326">
              <w:rPr>
                <w:rStyle w:val="Hyperlink"/>
                <w:noProof/>
                <w:sz w:val="24"/>
                <w:szCs w:val="24"/>
                <w:lang w:val="en-US"/>
              </w:rPr>
              <w:t>4.4. Association between structural classes, clusters, and biological annotation</w:t>
            </w:r>
            <w:r w:rsidRPr="00DA2326">
              <w:rPr>
                <w:noProof/>
                <w:webHidden/>
                <w:sz w:val="24"/>
                <w:szCs w:val="24"/>
              </w:rPr>
              <w:tab/>
            </w:r>
            <w:r w:rsidRPr="00DA2326">
              <w:rPr>
                <w:noProof/>
                <w:webHidden/>
                <w:sz w:val="24"/>
                <w:szCs w:val="24"/>
              </w:rPr>
              <w:fldChar w:fldCharType="begin"/>
            </w:r>
            <w:r w:rsidRPr="00DA2326">
              <w:rPr>
                <w:noProof/>
                <w:webHidden/>
                <w:sz w:val="24"/>
                <w:szCs w:val="24"/>
              </w:rPr>
              <w:instrText xml:space="preserve"> PAGEREF _Toc227015001 \h </w:instrText>
            </w:r>
            <w:r w:rsidRPr="00DA2326">
              <w:rPr>
                <w:noProof/>
                <w:webHidden/>
                <w:sz w:val="24"/>
                <w:szCs w:val="24"/>
              </w:rPr>
            </w:r>
            <w:r w:rsidRPr="00DA2326">
              <w:rPr>
                <w:noProof/>
                <w:webHidden/>
                <w:sz w:val="24"/>
                <w:szCs w:val="24"/>
              </w:rPr>
              <w:fldChar w:fldCharType="separate"/>
            </w:r>
            <w:r w:rsidRPr="00DA2326">
              <w:rPr>
                <w:noProof/>
                <w:webHidden/>
                <w:sz w:val="24"/>
                <w:szCs w:val="24"/>
              </w:rPr>
              <w:t>22</w:t>
            </w:r>
            <w:r w:rsidRPr="00DA2326">
              <w:rPr>
                <w:noProof/>
                <w:webHidden/>
                <w:sz w:val="24"/>
                <w:szCs w:val="24"/>
              </w:rPr>
              <w:fldChar w:fldCharType="end"/>
            </w:r>
          </w:hyperlink>
        </w:p>
        <w:p w14:paraId="54106534" w14:textId="10E67962" w:rsidR="0007339A" w:rsidRPr="00DA2326" w:rsidRDefault="0007339A" w:rsidP="00DA2326">
          <w:pPr>
            <w:pStyle w:val="TOC1"/>
            <w:tabs>
              <w:tab w:val="left" w:pos="960"/>
              <w:tab w:val="right" w:leader="dot" w:pos="8498"/>
            </w:tabs>
            <w:spacing w:line="276" w:lineRule="auto"/>
            <w:rPr>
              <w:rFonts w:asciiTheme="minorHAnsi" w:eastAsiaTheme="minorEastAsia" w:hAnsiTheme="minorHAnsi" w:cstheme="minorBidi"/>
              <w:b w:val="0"/>
              <w:bCs w:val="0"/>
              <w:noProof/>
              <w:kern w:val="2"/>
              <w:sz w:val="24"/>
              <w:szCs w:val="24"/>
              <w:lang w:val="ru-KZ" w:eastAsia="zh-CN" w:bidi="bn-IN"/>
              <w14:ligatures w14:val="standardContextual"/>
            </w:rPr>
          </w:pPr>
          <w:hyperlink w:anchor="_Toc227015002" w:history="1">
            <w:r w:rsidRPr="00DA2326">
              <w:rPr>
                <w:rStyle w:val="Hyperlink"/>
                <w:noProof/>
                <w:sz w:val="24"/>
                <w:szCs w:val="24"/>
                <w:lang w:val="en-US"/>
              </w:rPr>
              <w:t>5.</w:t>
            </w:r>
            <w:r w:rsidRPr="00DA2326">
              <w:rPr>
                <w:rFonts w:asciiTheme="minorHAnsi" w:eastAsiaTheme="minorEastAsia" w:hAnsiTheme="minorHAnsi" w:cstheme="minorBidi"/>
                <w:b w:val="0"/>
                <w:bCs w:val="0"/>
                <w:noProof/>
                <w:kern w:val="2"/>
                <w:sz w:val="24"/>
                <w:szCs w:val="24"/>
                <w:lang w:val="ru-KZ" w:eastAsia="zh-CN" w:bidi="bn-IN"/>
                <w14:ligatures w14:val="standardContextual"/>
              </w:rPr>
              <w:tab/>
            </w:r>
            <w:r w:rsidRPr="00DA2326">
              <w:rPr>
                <w:rStyle w:val="Hyperlink"/>
                <w:noProof/>
                <w:sz w:val="24"/>
                <w:szCs w:val="24"/>
                <w:lang w:val="en-US"/>
              </w:rPr>
              <w:t>DISCUSSION</w:t>
            </w:r>
            <w:r w:rsidRPr="00DA2326">
              <w:rPr>
                <w:noProof/>
                <w:webHidden/>
                <w:sz w:val="24"/>
                <w:szCs w:val="24"/>
              </w:rPr>
              <w:tab/>
            </w:r>
            <w:r w:rsidRPr="00DA2326">
              <w:rPr>
                <w:noProof/>
                <w:webHidden/>
                <w:sz w:val="24"/>
                <w:szCs w:val="24"/>
              </w:rPr>
              <w:fldChar w:fldCharType="begin"/>
            </w:r>
            <w:r w:rsidRPr="00DA2326">
              <w:rPr>
                <w:noProof/>
                <w:webHidden/>
                <w:sz w:val="24"/>
                <w:szCs w:val="24"/>
              </w:rPr>
              <w:instrText xml:space="preserve"> PAGEREF _Toc227015002 \h </w:instrText>
            </w:r>
            <w:r w:rsidRPr="00DA2326">
              <w:rPr>
                <w:noProof/>
                <w:webHidden/>
                <w:sz w:val="24"/>
                <w:szCs w:val="24"/>
              </w:rPr>
            </w:r>
            <w:r w:rsidRPr="00DA2326">
              <w:rPr>
                <w:noProof/>
                <w:webHidden/>
                <w:sz w:val="24"/>
                <w:szCs w:val="24"/>
              </w:rPr>
              <w:fldChar w:fldCharType="separate"/>
            </w:r>
            <w:r w:rsidRPr="00DA2326">
              <w:rPr>
                <w:noProof/>
                <w:webHidden/>
                <w:sz w:val="24"/>
                <w:szCs w:val="24"/>
              </w:rPr>
              <w:t>26</w:t>
            </w:r>
            <w:r w:rsidRPr="00DA2326">
              <w:rPr>
                <w:noProof/>
                <w:webHidden/>
                <w:sz w:val="24"/>
                <w:szCs w:val="24"/>
              </w:rPr>
              <w:fldChar w:fldCharType="end"/>
            </w:r>
          </w:hyperlink>
        </w:p>
        <w:p w14:paraId="140760E6" w14:textId="3B126581" w:rsidR="0007339A" w:rsidRPr="00DA2326" w:rsidRDefault="0007339A" w:rsidP="00DA2326">
          <w:pPr>
            <w:pStyle w:val="TOC1"/>
            <w:tabs>
              <w:tab w:val="left" w:pos="960"/>
              <w:tab w:val="right" w:leader="dot" w:pos="8498"/>
            </w:tabs>
            <w:spacing w:line="276" w:lineRule="auto"/>
            <w:rPr>
              <w:rFonts w:asciiTheme="minorHAnsi" w:eastAsiaTheme="minorEastAsia" w:hAnsiTheme="minorHAnsi" w:cstheme="minorBidi"/>
              <w:b w:val="0"/>
              <w:bCs w:val="0"/>
              <w:noProof/>
              <w:kern w:val="2"/>
              <w:sz w:val="24"/>
              <w:szCs w:val="24"/>
              <w:lang w:val="ru-KZ" w:eastAsia="zh-CN" w:bidi="bn-IN"/>
              <w14:ligatures w14:val="standardContextual"/>
            </w:rPr>
          </w:pPr>
          <w:hyperlink w:anchor="_Toc227015003" w:history="1">
            <w:r w:rsidRPr="00DA2326">
              <w:rPr>
                <w:rStyle w:val="Hyperlink"/>
                <w:noProof/>
                <w:sz w:val="24"/>
                <w:szCs w:val="24"/>
                <w:lang w:val="en-US"/>
              </w:rPr>
              <w:t>6.</w:t>
            </w:r>
            <w:r w:rsidRPr="00DA2326">
              <w:rPr>
                <w:rFonts w:asciiTheme="minorHAnsi" w:eastAsiaTheme="minorEastAsia" w:hAnsiTheme="minorHAnsi" w:cstheme="minorBidi"/>
                <w:b w:val="0"/>
                <w:bCs w:val="0"/>
                <w:noProof/>
                <w:kern w:val="2"/>
                <w:sz w:val="24"/>
                <w:szCs w:val="24"/>
                <w:lang w:val="ru-KZ" w:eastAsia="zh-CN" w:bidi="bn-IN"/>
                <w14:ligatures w14:val="standardContextual"/>
              </w:rPr>
              <w:tab/>
            </w:r>
            <w:r w:rsidRPr="00DA2326">
              <w:rPr>
                <w:rStyle w:val="Hyperlink"/>
                <w:noProof/>
                <w:sz w:val="24"/>
                <w:szCs w:val="24"/>
                <w:lang w:val="en-US"/>
              </w:rPr>
              <w:t>CONCLUSION</w:t>
            </w:r>
            <w:r w:rsidRPr="00DA2326">
              <w:rPr>
                <w:noProof/>
                <w:webHidden/>
                <w:sz w:val="24"/>
                <w:szCs w:val="24"/>
              </w:rPr>
              <w:tab/>
            </w:r>
            <w:r w:rsidRPr="00DA2326">
              <w:rPr>
                <w:noProof/>
                <w:webHidden/>
                <w:sz w:val="24"/>
                <w:szCs w:val="24"/>
              </w:rPr>
              <w:fldChar w:fldCharType="begin"/>
            </w:r>
            <w:r w:rsidRPr="00DA2326">
              <w:rPr>
                <w:noProof/>
                <w:webHidden/>
                <w:sz w:val="24"/>
                <w:szCs w:val="24"/>
              </w:rPr>
              <w:instrText xml:space="preserve"> PAGEREF _Toc227015003 \h </w:instrText>
            </w:r>
            <w:r w:rsidRPr="00DA2326">
              <w:rPr>
                <w:noProof/>
                <w:webHidden/>
                <w:sz w:val="24"/>
                <w:szCs w:val="24"/>
              </w:rPr>
            </w:r>
            <w:r w:rsidRPr="00DA2326">
              <w:rPr>
                <w:noProof/>
                <w:webHidden/>
                <w:sz w:val="24"/>
                <w:szCs w:val="24"/>
              </w:rPr>
              <w:fldChar w:fldCharType="separate"/>
            </w:r>
            <w:r w:rsidRPr="00DA2326">
              <w:rPr>
                <w:noProof/>
                <w:webHidden/>
                <w:sz w:val="24"/>
                <w:szCs w:val="24"/>
              </w:rPr>
              <w:t>28</w:t>
            </w:r>
            <w:r w:rsidRPr="00DA2326">
              <w:rPr>
                <w:noProof/>
                <w:webHidden/>
                <w:sz w:val="24"/>
                <w:szCs w:val="24"/>
              </w:rPr>
              <w:fldChar w:fldCharType="end"/>
            </w:r>
          </w:hyperlink>
        </w:p>
        <w:p w14:paraId="7A1D0555" w14:textId="0B1F6B8D" w:rsidR="0007339A" w:rsidRPr="00DA2326" w:rsidRDefault="0007339A" w:rsidP="00DA2326">
          <w:pPr>
            <w:pStyle w:val="TOC1"/>
            <w:tabs>
              <w:tab w:val="right" w:leader="dot" w:pos="8498"/>
            </w:tabs>
            <w:spacing w:line="276" w:lineRule="auto"/>
            <w:rPr>
              <w:rFonts w:asciiTheme="minorHAnsi" w:eastAsiaTheme="minorEastAsia" w:hAnsiTheme="minorHAnsi" w:cstheme="minorBidi"/>
              <w:b w:val="0"/>
              <w:bCs w:val="0"/>
              <w:noProof/>
              <w:kern w:val="2"/>
              <w:sz w:val="24"/>
              <w:szCs w:val="24"/>
              <w:lang w:val="ru-KZ" w:eastAsia="zh-CN" w:bidi="bn-IN"/>
              <w14:ligatures w14:val="standardContextual"/>
            </w:rPr>
          </w:pPr>
          <w:hyperlink w:anchor="_Toc227015004" w:history="1">
            <w:r w:rsidRPr="00DA2326">
              <w:rPr>
                <w:rStyle w:val="Hyperlink"/>
                <w:noProof/>
                <w:sz w:val="24"/>
                <w:szCs w:val="24"/>
                <w:lang w:val="en-US"/>
              </w:rPr>
              <w:t>REFERENCES</w:t>
            </w:r>
            <w:r w:rsidRPr="00DA2326">
              <w:rPr>
                <w:noProof/>
                <w:webHidden/>
                <w:sz w:val="24"/>
                <w:szCs w:val="24"/>
              </w:rPr>
              <w:tab/>
            </w:r>
            <w:r w:rsidRPr="00DA2326">
              <w:rPr>
                <w:noProof/>
                <w:webHidden/>
                <w:sz w:val="24"/>
                <w:szCs w:val="24"/>
              </w:rPr>
              <w:fldChar w:fldCharType="begin"/>
            </w:r>
            <w:r w:rsidRPr="00DA2326">
              <w:rPr>
                <w:noProof/>
                <w:webHidden/>
                <w:sz w:val="24"/>
                <w:szCs w:val="24"/>
              </w:rPr>
              <w:instrText xml:space="preserve"> PAGEREF _Toc227015004 \h </w:instrText>
            </w:r>
            <w:r w:rsidRPr="00DA2326">
              <w:rPr>
                <w:noProof/>
                <w:webHidden/>
                <w:sz w:val="24"/>
                <w:szCs w:val="24"/>
              </w:rPr>
            </w:r>
            <w:r w:rsidRPr="00DA2326">
              <w:rPr>
                <w:noProof/>
                <w:webHidden/>
                <w:sz w:val="24"/>
                <w:szCs w:val="24"/>
              </w:rPr>
              <w:fldChar w:fldCharType="separate"/>
            </w:r>
            <w:r w:rsidRPr="00DA2326">
              <w:rPr>
                <w:noProof/>
                <w:webHidden/>
                <w:sz w:val="24"/>
                <w:szCs w:val="24"/>
              </w:rPr>
              <w:t>29</w:t>
            </w:r>
            <w:r w:rsidRPr="00DA2326">
              <w:rPr>
                <w:noProof/>
                <w:webHidden/>
                <w:sz w:val="24"/>
                <w:szCs w:val="24"/>
              </w:rPr>
              <w:fldChar w:fldCharType="end"/>
            </w:r>
          </w:hyperlink>
        </w:p>
        <w:p w14:paraId="46628D68" w14:textId="4156CBE3" w:rsidR="0007339A" w:rsidRPr="00DA2326" w:rsidRDefault="0007339A" w:rsidP="00DA2326">
          <w:pPr>
            <w:pStyle w:val="TOC1"/>
            <w:tabs>
              <w:tab w:val="right" w:leader="dot" w:pos="8498"/>
            </w:tabs>
            <w:spacing w:line="276" w:lineRule="auto"/>
            <w:rPr>
              <w:rFonts w:asciiTheme="minorHAnsi" w:eastAsiaTheme="minorEastAsia" w:hAnsiTheme="minorHAnsi" w:cstheme="minorBidi"/>
              <w:b w:val="0"/>
              <w:bCs w:val="0"/>
              <w:noProof/>
              <w:kern w:val="2"/>
              <w:sz w:val="24"/>
              <w:szCs w:val="24"/>
              <w:lang w:val="ru-KZ" w:eastAsia="zh-CN" w:bidi="bn-IN"/>
              <w14:ligatures w14:val="standardContextual"/>
            </w:rPr>
          </w:pPr>
          <w:hyperlink w:anchor="_Toc227015005" w:history="1">
            <w:r w:rsidRPr="00DA2326">
              <w:rPr>
                <w:rStyle w:val="Hyperlink"/>
                <w:noProof/>
                <w:sz w:val="24"/>
                <w:szCs w:val="24"/>
                <w:lang w:val="en-US"/>
              </w:rPr>
              <w:t>Appendix</w:t>
            </w:r>
            <w:r w:rsidRPr="00DA2326">
              <w:rPr>
                <w:noProof/>
                <w:webHidden/>
                <w:sz w:val="24"/>
                <w:szCs w:val="24"/>
              </w:rPr>
              <w:tab/>
            </w:r>
            <w:r w:rsidRPr="00DA2326">
              <w:rPr>
                <w:noProof/>
                <w:webHidden/>
                <w:sz w:val="24"/>
                <w:szCs w:val="24"/>
              </w:rPr>
              <w:fldChar w:fldCharType="begin"/>
            </w:r>
            <w:r w:rsidRPr="00DA2326">
              <w:rPr>
                <w:noProof/>
                <w:webHidden/>
                <w:sz w:val="24"/>
                <w:szCs w:val="24"/>
              </w:rPr>
              <w:instrText xml:space="preserve"> PAGEREF _Toc227015005 \h </w:instrText>
            </w:r>
            <w:r w:rsidRPr="00DA2326">
              <w:rPr>
                <w:noProof/>
                <w:webHidden/>
                <w:sz w:val="24"/>
                <w:szCs w:val="24"/>
              </w:rPr>
            </w:r>
            <w:r w:rsidRPr="00DA2326">
              <w:rPr>
                <w:noProof/>
                <w:webHidden/>
                <w:sz w:val="24"/>
                <w:szCs w:val="24"/>
              </w:rPr>
              <w:fldChar w:fldCharType="separate"/>
            </w:r>
            <w:r w:rsidRPr="00DA2326">
              <w:rPr>
                <w:noProof/>
                <w:webHidden/>
                <w:sz w:val="24"/>
                <w:szCs w:val="24"/>
              </w:rPr>
              <w:t>33</w:t>
            </w:r>
            <w:r w:rsidRPr="00DA2326">
              <w:rPr>
                <w:noProof/>
                <w:webHidden/>
                <w:sz w:val="24"/>
                <w:szCs w:val="24"/>
              </w:rPr>
              <w:fldChar w:fldCharType="end"/>
            </w:r>
          </w:hyperlink>
        </w:p>
        <w:p w14:paraId="4BCF64EA" w14:textId="4DD7AE9D" w:rsidR="007E0216" w:rsidRPr="008840D2" w:rsidRDefault="007E0216" w:rsidP="00DA2326">
          <w:pPr>
            <w:spacing w:line="276" w:lineRule="auto"/>
            <w:rPr>
              <w:lang w:val="en-US"/>
            </w:rPr>
          </w:pPr>
          <w:r w:rsidRPr="00DA2326">
            <w:rPr>
              <w:b/>
              <w:bCs/>
              <w:noProof/>
              <w:szCs w:val="24"/>
              <w:lang w:val="en-US"/>
            </w:rPr>
            <w:fldChar w:fldCharType="end"/>
          </w:r>
        </w:p>
      </w:sdtContent>
    </w:sdt>
    <w:p w14:paraId="0000003B" w14:textId="77777777" w:rsidR="003A1FEB" w:rsidRPr="008840D2" w:rsidRDefault="003A1FEB">
      <w:pPr>
        <w:pStyle w:val="Heading1"/>
        <w:ind w:firstLine="164"/>
        <w:rPr>
          <w:lang w:val="en-US"/>
        </w:rPr>
        <w:sectPr w:rsidR="003A1FEB" w:rsidRPr="008840D2" w:rsidSect="00DC76F7">
          <w:pgSz w:w="11910" w:h="16840"/>
          <w:pgMar w:top="1701" w:right="1701" w:bottom="1701" w:left="1701" w:header="0" w:footer="1097" w:gutter="0"/>
          <w:pgNumType w:fmt="upperRoman"/>
          <w:cols w:space="720"/>
          <w:docGrid w:linePitch="326"/>
        </w:sectPr>
      </w:pPr>
    </w:p>
    <w:p w14:paraId="0000003C" w14:textId="77777777" w:rsidR="003A1FEB" w:rsidRPr="008840D2" w:rsidRDefault="003A1FEB">
      <w:pPr>
        <w:pBdr>
          <w:top w:val="nil"/>
          <w:left w:val="nil"/>
          <w:bottom w:val="nil"/>
          <w:right w:val="nil"/>
          <w:between w:val="nil"/>
        </w:pBdr>
        <w:tabs>
          <w:tab w:val="left" w:leader="dot" w:pos="9106"/>
        </w:tabs>
        <w:spacing w:before="161"/>
        <w:ind w:left="165"/>
        <w:rPr>
          <w:b/>
          <w:bCs/>
          <w:color w:val="000000"/>
          <w:sz w:val="28"/>
          <w:szCs w:val="28"/>
          <w:lang w:val="en-US"/>
        </w:rPr>
        <w:sectPr w:rsidR="003A1FEB" w:rsidRPr="008840D2" w:rsidSect="00DC76F7">
          <w:type w:val="continuous"/>
          <w:pgSz w:w="11910" w:h="16840"/>
          <w:pgMar w:top="1701" w:right="1701" w:bottom="1701" w:left="1701" w:header="0" w:footer="1097" w:gutter="0"/>
          <w:pgNumType w:fmt="upperRoman"/>
          <w:cols w:space="720"/>
          <w:docGrid w:linePitch="326"/>
        </w:sectPr>
      </w:pPr>
    </w:p>
    <w:p w14:paraId="0000003D" w14:textId="77777777" w:rsidR="003A1FEB" w:rsidRPr="008840D2" w:rsidRDefault="002844AC" w:rsidP="00E90946">
      <w:pPr>
        <w:pStyle w:val="BodyText"/>
        <w:ind w:firstLine="0"/>
      </w:pPr>
      <w:r>
        <w:lastRenderedPageBreak/>
        <w:t>Nazarbayev University, School of Sciences and Humanities, Department of Biology Master´s Degree Program in Life Sciences</w:t>
      </w:r>
    </w:p>
    <w:p w14:paraId="0000003E" w14:textId="77777777" w:rsidR="003A1FEB" w:rsidRPr="008840D2" w:rsidRDefault="002844AC" w:rsidP="00E90946">
      <w:pPr>
        <w:pStyle w:val="BodyText"/>
        <w:ind w:firstLine="0"/>
      </w:pPr>
      <w:r>
        <w:t>Adeliya Seidaliyeva: Computational Analysis and Classification of Vitamin D Receptor Ligands</w:t>
      </w:r>
    </w:p>
    <w:p w14:paraId="0000003F" w14:textId="04C332A2" w:rsidR="003A1FEB" w:rsidRPr="008840D2" w:rsidRDefault="002844AC" w:rsidP="00E90946">
      <w:pPr>
        <w:pStyle w:val="BodyText"/>
        <w:ind w:firstLine="0"/>
      </w:pPr>
      <w:r>
        <w:t xml:space="preserve">Master of Science thesis; 41 pages, </w:t>
      </w:r>
      <w:r w:rsidRPr="00666416">
        <w:t>2</w:t>
      </w:r>
      <w:r>
        <w:t xml:space="preserve"> appendixes</w:t>
      </w:r>
    </w:p>
    <w:p w14:paraId="23A152C4" w14:textId="77777777" w:rsidR="00E90946" w:rsidRPr="0050200A" w:rsidRDefault="002844AC" w:rsidP="00E90946">
      <w:pPr>
        <w:pStyle w:val="BodyText"/>
        <w:ind w:firstLine="0"/>
      </w:pPr>
      <w:r w:rsidRPr="0050200A">
        <w:t>Supervisor: Assoc. Professor Ferdinand Molnár, PhD, Department of Biology, School of Sciences and Humanities, Nazarbayev University</w:t>
      </w:r>
    </w:p>
    <w:p w14:paraId="00000042" w14:textId="68889AD1" w:rsidR="003A1FEB" w:rsidRPr="0050200A" w:rsidRDefault="0050200A" w:rsidP="00E90946">
      <w:pPr>
        <w:pStyle w:val="BodyText"/>
        <w:ind w:firstLine="0"/>
      </w:pPr>
      <w:r w:rsidRPr="0050200A">
        <w:rPr>
          <w:lang w:val="ru-RU"/>
        </w:rPr>
        <w:t>13</w:t>
      </w:r>
      <w:r w:rsidR="00E90946" w:rsidRPr="0050200A">
        <w:t>. 04. 2026</w:t>
      </w:r>
    </w:p>
    <w:p w14:paraId="00000043" w14:textId="44930AA9" w:rsidR="003A1FEB" w:rsidRPr="008840D2" w:rsidRDefault="002844AC" w:rsidP="00E90946">
      <w:pPr>
        <w:pStyle w:val="BodyText"/>
        <w:ind w:firstLine="0"/>
      </w:pPr>
      <w:r w:rsidRPr="0050200A">
        <w:t xml:space="preserve">Keywords: </w:t>
      </w:r>
      <w:r w:rsidRPr="0050200A">
        <w:rPr>
          <w:lang w:val="en"/>
        </w:rPr>
        <w:t xml:space="preserve">vitamin </w:t>
      </w:r>
      <w:r>
        <w:rPr>
          <w:lang w:val="en"/>
        </w:rPr>
        <w:t xml:space="preserve">D receptor, VDR ligands, </w:t>
      </w:r>
      <w:proofErr w:type="spellStart"/>
      <w:r>
        <w:rPr>
          <w:lang w:val="en"/>
        </w:rPr>
        <w:t>chemoinformatics</w:t>
      </w:r>
      <w:proofErr w:type="spellEnd"/>
      <w:r>
        <w:rPr>
          <w:lang w:val="en"/>
        </w:rPr>
        <w:t>, molecular fingerprints, clustering, chemical space, natural product-likeness, physicochemical descriptors</w:t>
      </w:r>
    </w:p>
    <w:p w14:paraId="00000044" w14:textId="77777777" w:rsidR="003A1FEB" w:rsidRPr="008840D2" w:rsidRDefault="003A1FEB">
      <w:pPr>
        <w:pBdr>
          <w:top w:val="nil"/>
          <w:left w:val="nil"/>
          <w:bottom w:val="nil"/>
          <w:right w:val="nil"/>
          <w:between w:val="nil"/>
        </w:pBdr>
        <w:rPr>
          <w:color w:val="000000"/>
          <w:szCs w:val="24"/>
          <w:lang w:val="en-US"/>
        </w:rPr>
      </w:pPr>
    </w:p>
    <w:p w14:paraId="00000045" w14:textId="77777777" w:rsidR="003A1FEB" w:rsidRPr="008840D2" w:rsidRDefault="002844AC">
      <w:pPr>
        <w:pStyle w:val="Heading1"/>
        <w:spacing w:before="1"/>
        <w:ind w:firstLine="164"/>
        <w:rPr>
          <w:lang w:val="en-US"/>
        </w:rPr>
      </w:pPr>
      <w:bookmarkStart w:id="11" w:name="_Toc227014976"/>
      <w:r>
        <w:rPr>
          <w:lang w:val="en-US"/>
        </w:rPr>
        <w:t>ABSTRACT</w:t>
      </w:r>
      <w:bookmarkEnd w:id="11"/>
    </w:p>
    <w:p w14:paraId="38F0AA76" w14:textId="6B1BE3B5" w:rsidR="000839E0" w:rsidRPr="000839E0" w:rsidRDefault="000839E0" w:rsidP="000839E0">
      <w:pPr>
        <w:pStyle w:val="BodyText"/>
      </w:pPr>
      <w:r w:rsidRPr="000839E0">
        <w:t>The vitamin D receptor (VDR) is a ligand-dependent nuclear transcription factor that plays a key role in regulating calcium homeostasis, immune processes, and cellular differentiation, and is a recognized target in drug development. Despite the large number of described VDR ligands, so far there has been no standardized collection with computational annotation suitable for system analysis.</w:t>
      </w:r>
      <w:r w:rsidR="00F854DF">
        <w:t xml:space="preserve"> </w:t>
      </w:r>
      <w:r w:rsidRPr="000839E0">
        <w:t>In this work, a curated dataset was formed and characterized, including 962 VDR ligands divided into four structural categories: analogues, metabolites, hybrid compounds and non-</w:t>
      </w:r>
      <w:proofErr w:type="spellStart"/>
      <w:r w:rsidRPr="000839E0">
        <w:t>secosteroid</w:t>
      </w:r>
      <w:r w:rsidR="00F854DF">
        <w:t>al</w:t>
      </w:r>
      <w:proofErr w:type="spellEnd"/>
      <w:r w:rsidRPr="000839E0">
        <w:t xml:space="preserve"> compounds, digitized based on the Maestro and Seoane catalog.</w:t>
      </w:r>
      <w:r w:rsidR="00F854DF">
        <w:t xml:space="preserve"> </w:t>
      </w:r>
      <w:r w:rsidRPr="000839E0">
        <w:t xml:space="preserve">A comprehensive chemoinformatic approach was used for the analysis, including the calculation of </w:t>
      </w:r>
      <w:proofErr w:type="spellStart"/>
      <w:r w:rsidRPr="000839E0">
        <w:t>physico</w:t>
      </w:r>
      <w:proofErr w:type="spellEnd"/>
      <w:r w:rsidRPr="000839E0">
        <w:t>-chemical descriptors, the index of similarity to natural compounds, as well as four types of molecular fingerprints. Next, similarity analysis, clustering using the Butina algorithm, and visualization of the chemical space using t-SNE and UMAP methods were performed.</w:t>
      </w:r>
      <w:r w:rsidR="00F854DF">
        <w:t xml:space="preserve"> </w:t>
      </w:r>
      <w:r w:rsidRPr="000839E0">
        <w:t xml:space="preserve">The results showed that the studied set occupies a relatively compact and predominantly lipophilic chemical space, largely determined by the common </w:t>
      </w:r>
      <w:proofErr w:type="spellStart"/>
      <w:r w:rsidRPr="000839E0">
        <w:t>secosteroid</w:t>
      </w:r>
      <w:proofErr w:type="spellEnd"/>
      <w:r w:rsidRPr="000839E0">
        <w:t xml:space="preserve"> framework. At the same time, non-</w:t>
      </w:r>
      <w:proofErr w:type="spellStart"/>
      <w:r w:rsidRPr="000839E0">
        <w:t>secosteroid</w:t>
      </w:r>
      <w:r w:rsidR="00F854DF">
        <w:t>al</w:t>
      </w:r>
      <w:proofErr w:type="spellEnd"/>
      <w:r w:rsidRPr="000839E0">
        <w:t xml:space="preserve"> ligands are clearly separated on the projections of the chemical space, which confirms their belonging to a structurally distinct chemotype.</w:t>
      </w:r>
      <w:r w:rsidR="00F854DF">
        <w:t xml:space="preserve"> </w:t>
      </w:r>
      <w:r w:rsidRPr="000839E0">
        <w:t>The formed data set and the proposed multi</w:t>
      </w:r>
      <w:r w:rsidR="00A747D4">
        <w:t>-</w:t>
      </w:r>
      <w:r w:rsidRPr="000839E0">
        <w:t>level analytical approach</w:t>
      </w:r>
      <w:r w:rsidR="00CA15D3">
        <w:t>.</w:t>
      </w:r>
      <w:r w:rsidRPr="000839E0">
        <w:t xml:space="preserve"> </w:t>
      </w:r>
      <w:r w:rsidR="009D3B08" w:rsidRPr="009D3B08">
        <w:t>In addition, the analyzed data set based on various types of molecular fingerprints forms a reproducible basis for further modeling the activity of VDR ligands, studying the structure–activity relationship, and rationally designing new analogues.</w:t>
      </w:r>
    </w:p>
    <w:p w14:paraId="00000049" w14:textId="01709547" w:rsidR="003A1FEB" w:rsidRPr="00E90946" w:rsidRDefault="002844AC" w:rsidP="00E90946">
      <w:pPr>
        <w:pStyle w:val="Heading1"/>
        <w:numPr>
          <w:ilvl w:val="0"/>
          <w:numId w:val="1"/>
        </w:numPr>
        <w:tabs>
          <w:tab w:val="left" w:pos="445"/>
        </w:tabs>
        <w:ind w:left="445" w:hanging="280"/>
        <w:rPr>
          <w:lang w:val="en-US"/>
        </w:rPr>
      </w:pPr>
      <w:bookmarkStart w:id="12" w:name="_Toc227014977"/>
      <w:r>
        <w:rPr>
          <w:lang w:val="en-US"/>
        </w:rPr>
        <w:lastRenderedPageBreak/>
        <w:t>INTRODUCTION</w:t>
      </w:r>
      <w:bookmarkEnd w:id="12"/>
    </w:p>
    <w:p w14:paraId="0000004A" w14:textId="77777777" w:rsidR="003A1FEB" w:rsidRPr="008840D2" w:rsidRDefault="002844AC">
      <w:pPr>
        <w:pStyle w:val="Heading2"/>
        <w:numPr>
          <w:ilvl w:val="1"/>
          <w:numId w:val="1"/>
        </w:numPr>
        <w:tabs>
          <w:tab w:val="left" w:pos="525"/>
        </w:tabs>
        <w:spacing w:after="120"/>
        <w:ind w:left="142" w:firstLine="0"/>
        <w:rPr>
          <w:lang w:val="en-US"/>
        </w:rPr>
      </w:pPr>
      <w:bookmarkStart w:id="13" w:name="_Toc227014978"/>
      <w:r>
        <w:rPr>
          <w:lang w:val="en-US"/>
        </w:rPr>
        <w:t>Biological significance of vitamin D signaling in human health</w:t>
      </w:r>
      <w:bookmarkEnd w:id="13"/>
    </w:p>
    <w:p w14:paraId="0000004B" w14:textId="1A57ED22" w:rsidR="003A1FEB" w:rsidRPr="008840D2" w:rsidRDefault="002844AC" w:rsidP="00C95FA7">
      <w:pPr>
        <w:pStyle w:val="BodyText"/>
      </w:pPr>
      <w:r>
        <w:t xml:space="preserve">Vitamin D is a fat-soluble </w:t>
      </w:r>
      <w:proofErr w:type="spellStart"/>
      <w:r>
        <w:t>secosteroid</w:t>
      </w:r>
      <w:proofErr w:type="spellEnd"/>
      <w:r>
        <w:t xml:space="preserve"> that acts as a precursor to the hormonal signaling system, which is important for human physiology [1]. Although vitamin D can come from food and dietary supplements, its main source in humans is endogenous synthesis in the skin under the influence of ultraviolet B radiation (UVB) [2]. After sequential hydroxylation in the liver and kidneys, vitamin D is converted to its biologically active form, 1α,25-dihydroxyvitamin D₃ (1,25(OH)₂D₃, calcitriol), which implements its effects mainly through binding to the vitamin D receptor (VDR) [1].</w:t>
      </w:r>
    </w:p>
    <w:p w14:paraId="0000004C" w14:textId="54AF181A" w:rsidR="003A1FEB" w:rsidRPr="008840D2" w:rsidRDefault="002844AC" w:rsidP="00C95FA7">
      <w:pPr>
        <w:pStyle w:val="BodyText"/>
      </w:pPr>
      <w:r>
        <w:t>Vitamin D signaling is necessary for normal bone mineralization, absorption of calcium in the intestine and its reabsorption in the kidneys. Disruption of at least one of these processes leads to the development of well-known diseases such as rickets and osteomalacia [3]. It is also worth noting that vitamin D is involved not only in classical bone effects, but also affects immune responses, processes of cell proliferation, differentiation and apoptosis [4].</w:t>
      </w:r>
    </w:p>
    <w:p w14:paraId="0000004D" w14:textId="77777777" w:rsidR="003A1FEB" w:rsidRPr="008840D2" w:rsidRDefault="002844AC" w:rsidP="00C95FA7">
      <w:pPr>
        <w:pStyle w:val="BodyText"/>
      </w:pPr>
      <w:r>
        <w:t>In recent years, there has been an increasing number of studies confirming the relationship between vitamin D signaling pathway deficiency and an increased risk of developing chronic diseases, including autoimmune pathologies, cardiovascular diseases, and certain types of malignancies [5]. These observations are supported by molecular studies showing that vitamin D regulates the expression of genes involved in inflammation, immune tolerance, and cell cycle control. Thus, vitamin D is currently considered as a hormone with a wide spectrum of action involved in the systemic regulation of physiological processes, and not only as a factor of mineral metabolism.</w:t>
      </w:r>
    </w:p>
    <w:p w14:paraId="0000004E" w14:textId="77777777" w:rsidR="003A1FEB" w:rsidRPr="008840D2" w:rsidRDefault="003A1FEB">
      <w:pPr>
        <w:pBdr>
          <w:top w:val="nil"/>
          <w:left w:val="nil"/>
          <w:bottom w:val="nil"/>
          <w:right w:val="nil"/>
          <w:between w:val="nil"/>
        </w:pBdr>
        <w:ind w:left="165" w:right="445" w:firstLine="707"/>
        <w:rPr>
          <w:color w:val="000000"/>
          <w:szCs w:val="24"/>
          <w:lang w:val="en-US"/>
        </w:rPr>
      </w:pPr>
    </w:p>
    <w:p w14:paraId="0000004F" w14:textId="77777777" w:rsidR="003A1FEB" w:rsidRPr="008840D2" w:rsidRDefault="002844AC">
      <w:pPr>
        <w:pStyle w:val="Heading2"/>
        <w:numPr>
          <w:ilvl w:val="1"/>
          <w:numId w:val="1"/>
        </w:numPr>
        <w:spacing w:after="120"/>
        <w:ind w:left="521" w:hanging="357"/>
        <w:rPr>
          <w:lang w:val="en-US"/>
        </w:rPr>
      </w:pPr>
      <w:bookmarkStart w:id="14" w:name="_Toc227014979"/>
      <w:r>
        <w:rPr>
          <w:lang w:val="en-US"/>
        </w:rPr>
        <w:t>Vitamin D receptor as a molecular target</w:t>
      </w:r>
      <w:bookmarkEnd w:id="14"/>
    </w:p>
    <w:p w14:paraId="00000050" w14:textId="639506B9" w:rsidR="003A1FEB" w:rsidRPr="008840D2" w:rsidRDefault="002844AC" w:rsidP="00C95FA7">
      <w:pPr>
        <w:pStyle w:val="BodyText"/>
      </w:pPr>
      <w:r>
        <w:t xml:space="preserve">The vitamin D receptor is a key molecular target of the vitamin D signaling pathway and functions as a ligand-dependent transcription factor of the nuclear receptor family. Through binding to the active form of vitamin D, 1α,25-dihydroxyvitamin D₃, VDR transmits a hormonal signal to the gene expression regulation system. VDR expression is found not only in classical target tissues associated with calcium-phosphate metabolism, but also in keratinocytes, dermal fibroblasts, immune cells, and </w:t>
      </w:r>
      <w:proofErr w:type="gramStart"/>
      <w:r>
        <w:t>a number of</w:t>
      </w:r>
      <w:proofErr w:type="gramEnd"/>
      <w:r>
        <w:t xml:space="preserve"> </w:t>
      </w:r>
      <w:r>
        <w:lastRenderedPageBreak/>
        <w:t>other cell types, reflecting the broad physiological spectrum of vitamin D action [6,7].</w:t>
      </w:r>
    </w:p>
    <w:p w14:paraId="00000051" w14:textId="5E0D3CEE" w:rsidR="003A1FEB" w:rsidRPr="008840D2" w:rsidRDefault="002844AC" w:rsidP="00C95FA7">
      <w:pPr>
        <w:pStyle w:val="BodyText"/>
      </w:pPr>
      <w:r>
        <w:t>Structurally, the VDR has a modular organization and includes an N-terminal domain, a highly conserved DNA binding domain (DBD), a hinge region, and a ligand binding domain (LBD) [8]. DBD contains two zinc fingers: the first provides specific recognition of vitamin D response elements (VDRE) in DNA, while the second is involved in the formation of a heterodimer with retinoid X receptor (RXR). LBD, in turn, contains a ligand-binding pocket and an AF-2 activation surface. The latter is formed mainly by H3, H4, and H12 helices, and ligand binding stabilizes the position of helix 12 and thereby creates conditions for the recruitment of coactivators. As shown in Figure 1, the functional activity of VDR is determined by the coordination of four interrelated processes: binding to DNA, ligand binding, heterodimerization with RXR, and interaction with coactivators [9].</w:t>
      </w:r>
    </w:p>
    <w:p w14:paraId="00000052" w14:textId="77777777" w:rsidR="003A1FEB" w:rsidRPr="008840D2" w:rsidRDefault="002844AC" w:rsidP="00E240FD">
      <w:pPr>
        <w:pBdr>
          <w:top w:val="nil"/>
          <w:left w:val="nil"/>
          <w:bottom w:val="nil"/>
          <w:right w:val="nil"/>
          <w:between w:val="nil"/>
        </w:pBdr>
        <w:spacing w:line="240" w:lineRule="auto"/>
        <w:ind w:right="445"/>
        <w:jc w:val="center"/>
        <w:rPr>
          <w:color w:val="000000"/>
          <w:szCs w:val="24"/>
          <w:lang w:val="en-US"/>
        </w:rPr>
      </w:pPr>
      <w:r>
        <w:rPr>
          <w:noProof/>
          <w:color w:val="000000"/>
          <w:szCs w:val="24"/>
          <w:lang w:val="en-US"/>
        </w:rPr>
        <w:drawing>
          <wp:inline distT="0" distB="0" distL="0" distR="0" wp14:anchorId="017A2264" wp14:editId="4E11A744">
            <wp:extent cx="3908920" cy="2653328"/>
            <wp:effectExtent l="0" t="0" r="0" b="0"/>
            <wp:docPr id="2116791642"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png"/>
                    <pic:cNvPicPr/>
                  </pic:nvPicPr>
                  <pic:blipFill>
                    <a:blip r:embed="rId12"/>
                    <a:srcRect/>
                    <a:stretch>
                      <a:fillRect/>
                    </a:stretch>
                  </pic:blipFill>
                  <pic:spPr>
                    <a:xfrm>
                      <a:off x="0" y="0"/>
                      <a:ext cx="3913432" cy="2656390"/>
                    </a:xfrm>
                    <a:prstGeom prst="rect">
                      <a:avLst/>
                    </a:prstGeom>
                    <a:ln/>
                  </pic:spPr>
                </pic:pic>
              </a:graphicData>
            </a:graphic>
          </wp:inline>
        </w:drawing>
      </w:r>
    </w:p>
    <w:p w14:paraId="00000053" w14:textId="77777777" w:rsidR="003A1FEB" w:rsidRPr="008840D2" w:rsidRDefault="002844AC" w:rsidP="00E240FD">
      <w:pPr>
        <w:pBdr>
          <w:top w:val="nil"/>
          <w:left w:val="nil"/>
          <w:bottom w:val="nil"/>
          <w:right w:val="nil"/>
          <w:between w:val="nil"/>
        </w:pBdr>
        <w:spacing w:line="240" w:lineRule="auto"/>
        <w:jc w:val="center"/>
        <w:rPr>
          <w:color w:val="000000"/>
          <w:szCs w:val="24"/>
          <w:lang w:val="en-US"/>
        </w:rPr>
      </w:pPr>
      <w:r>
        <w:rPr>
          <w:b/>
          <w:bCs/>
          <w:color w:val="000000"/>
          <w:szCs w:val="24"/>
          <w:lang w:val="en-US"/>
        </w:rPr>
        <w:t xml:space="preserve">Figure 1. </w:t>
      </w:r>
      <w:r>
        <w:rPr>
          <w:color w:val="000000"/>
          <w:szCs w:val="24"/>
          <w:lang w:val="en-US"/>
        </w:rPr>
        <w:t>Molecular basis of vitamin D signaling [3]</w:t>
      </w:r>
    </w:p>
    <w:p w14:paraId="3290438D" w14:textId="77777777" w:rsidR="00E240FD" w:rsidRPr="008840D2" w:rsidRDefault="00E240FD" w:rsidP="00E240FD">
      <w:pPr>
        <w:pBdr>
          <w:top w:val="nil"/>
          <w:left w:val="nil"/>
          <w:bottom w:val="nil"/>
          <w:right w:val="nil"/>
          <w:between w:val="nil"/>
        </w:pBdr>
        <w:spacing w:line="240" w:lineRule="auto"/>
        <w:jc w:val="center"/>
        <w:rPr>
          <w:color w:val="000000"/>
          <w:szCs w:val="24"/>
          <w:lang w:val="en-US"/>
        </w:rPr>
      </w:pPr>
    </w:p>
    <w:p w14:paraId="00000054" w14:textId="77777777" w:rsidR="003A1FEB" w:rsidRPr="008840D2" w:rsidRDefault="002844AC" w:rsidP="00C95FA7">
      <w:pPr>
        <w:pStyle w:val="BodyText"/>
      </w:pPr>
      <w:r>
        <w:t xml:space="preserve">Of particular importance is the hinge region, which should not be described as just a "flexible area" between DBD and LBD. Structural data show that in VDR, this region performs a spatially organizing function: as part of the RXR–VDR–DNA complex, the hinge region has a pronounced spiral character, connects the DBD associated with the 3'-site of the response to the LBD located at the 5'-end of the response element, and holds the receptor complex in an open conformation, available for binding coregulators [10]. Additional mutational data confirm that the hinge region acts as a linker of a strictly defined length: the removal of only five amino acids in its C-terminal part already significantly reduces the transcriptional activity of the VDR, which indicates its </w:t>
      </w:r>
      <w:r>
        <w:lastRenderedPageBreak/>
        <w:t>functional role as a structural spacer element rather than a passive connector [11].</w:t>
      </w:r>
    </w:p>
    <w:p w14:paraId="00000055" w14:textId="77777777" w:rsidR="003A1FEB" w:rsidRPr="008840D2" w:rsidRDefault="002844AC" w:rsidP="00C95FA7">
      <w:pPr>
        <w:pStyle w:val="BodyText"/>
      </w:pPr>
      <w:r>
        <w:t>Genomic studies show that VDR regulates a wide range of target genes, with the specific response profile depending on the cell type, chromatin environment, ligand availability, and composition of coregulatory complexes [6,7]. Therefore, VDR should be considered not only as a receptor for vitamin D, but also as a context-dependent molecular platform in which the structural organization is directly related to the functional output of the signal [9].</w:t>
      </w:r>
    </w:p>
    <w:p w14:paraId="00000056" w14:textId="77777777" w:rsidR="003A1FEB" w:rsidRPr="008840D2" w:rsidRDefault="003A1FEB">
      <w:pPr>
        <w:pBdr>
          <w:top w:val="nil"/>
          <w:left w:val="nil"/>
          <w:bottom w:val="nil"/>
          <w:right w:val="nil"/>
          <w:between w:val="nil"/>
        </w:pBdr>
        <w:ind w:left="165" w:right="445" w:firstLine="707"/>
        <w:rPr>
          <w:color w:val="000000"/>
          <w:szCs w:val="24"/>
          <w:lang w:val="en-US"/>
        </w:rPr>
      </w:pPr>
    </w:p>
    <w:p w14:paraId="00000057" w14:textId="77777777" w:rsidR="003A1FEB" w:rsidRPr="008840D2" w:rsidRDefault="002844AC">
      <w:pPr>
        <w:pStyle w:val="Heading2"/>
        <w:spacing w:after="120"/>
        <w:ind w:left="142"/>
        <w:rPr>
          <w:lang w:val="en-US"/>
        </w:rPr>
      </w:pPr>
      <w:bookmarkStart w:id="15" w:name="_Toc227014980"/>
      <w:r>
        <w:rPr>
          <w:lang w:val="en-US"/>
        </w:rPr>
        <w:t>1.3 Structural diversity and functional complexity of VDR ligands</w:t>
      </w:r>
      <w:bookmarkEnd w:id="15"/>
    </w:p>
    <w:p w14:paraId="00000058" w14:textId="6DF2255B" w:rsidR="003A1FEB" w:rsidRPr="008840D2" w:rsidRDefault="002844AC" w:rsidP="00C95FA7">
      <w:pPr>
        <w:pStyle w:val="BodyText"/>
      </w:pPr>
      <w:r>
        <w:t>VDR ligands are a structurally heterogeneous group of compounds. In addition to the natural hormone 1α,25-dihydroxyvitamin D₃ (calcitriol), these include its metabolites, numerous synthetic analogues, hybrid structures, and non-</w:t>
      </w:r>
      <w:proofErr w:type="spellStart"/>
      <w:r>
        <w:t>secosteroidal</w:t>
      </w:r>
      <w:proofErr w:type="spellEnd"/>
      <w:r>
        <w:t xml:space="preserve"> ligands [12]. As can be seen in Figure 2, the main directions of chemical modification affect the A-ring, CD fragment and side chain of the molecule, those areas that most determine the binding to the receptor and the biological response [9].</w:t>
      </w:r>
    </w:p>
    <w:p w14:paraId="00000059" w14:textId="77777777" w:rsidR="003A1FEB" w:rsidRPr="008840D2" w:rsidRDefault="002844AC" w:rsidP="00E240FD">
      <w:pPr>
        <w:pBdr>
          <w:top w:val="nil"/>
          <w:left w:val="nil"/>
          <w:bottom w:val="nil"/>
          <w:right w:val="nil"/>
          <w:between w:val="nil"/>
        </w:pBdr>
        <w:spacing w:line="240" w:lineRule="auto"/>
        <w:jc w:val="center"/>
        <w:rPr>
          <w:b/>
          <w:bCs/>
          <w:color w:val="000000"/>
          <w:szCs w:val="24"/>
          <w:lang w:val="en-US"/>
        </w:rPr>
      </w:pPr>
      <w:r>
        <w:rPr>
          <w:noProof/>
          <w:color w:val="000000"/>
          <w:szCs w:val="24"/>
          <w:lang w:val="en-US"/>
        </w:rPr>
        <w:drawing>
          <wp:inline distT="0" distB="0" distL="0" distR="0" wp14:anchorId="4407806E" wp14:editId="7768DEAE">
            <wp:extent cx="4704296" cy="4118400"/>
            <wp:effectExtent l="0" t="0" r="1270" b="0"/>
            <wp:docPr id="2116791641"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png"/>
                    <pic:cNvPicPr/>
                  </pic:nvPicPr>
                  <pic:blipFill>
                    <a:blip r:embed="rId13"/>
                    <a:srcRect/>
                    <a:stretch>
                      <a:fillRect/>
                    </a:stretch>
                  </pic:blipFill>
                  <pic:spPr>
                    <a:xfrm>
                      <a:off x="0" y="0"/>
                      <a:ext cx="4713735" cy="4126663"/>
                    </a:xfrm>
                    <a:prstGeom prst="rect">
                      <a:avLst/>
                    </a:prstGeom>
                    <a:ln/>
                  </pic:spPr>
                </pic:pic>
              </a:graphicData>
            </a:graphic>
          </wp:inline>
        </w:drawing>
      </w:r>
      <w:r>
        <w:rPr>
          <w:b/>
          <w:bCs/>
          <w:color w:val="000000"/>
          <w:szCs w:val="24"/>
          <w:lang w:val="en-US"/>
        </w:rPr>
        <w:t xml:space="preserve"> </w:t>
      </w:r>
    </w:p>
    <w:p w14:paraId="7A2C2B2B" w14:textId="02D70491" w:rsidR="00E240FD" w:rsidRDefault="002844AC" w:rsidP="00F1043D">
      <w:pPr>
        <w:pBdr>
          <w:top w:val="nil"/>
          <w:left w:val="nil"/>
          <w:bottom w:val="nil"/>
          <w:right w:val="nil"/>
          <w:between w:val="nil"/>
        </w:pBdr>
        <w:spacing w:line="240" w:lineRule="auto"/>
        <w:jc w:val="center"/>
        <w:rPr>
          <w:color w:val="000000"/>
          <w:szCs w:val="24"/>
          <w:lang w:val="en-US"/>
        </w:rPr>
      </w:pPr>
      <w:r>
        <w:rPr>
          <w:b/>
          <w:bCs/>
          <w:color w:val="000000"/>
          <w:szCs w:val="24"/>
          <w:lang w:val="en-US"/>
        </w:rPr>
        <w:t>Figure 2.</w:t>
      </w:r>
      <w:r>
        <w:rPr>
          <w:color w:val="000000"/>
          <w:szCs w:val="24"/>
          <w:lang w:val="en-US"/>
        </w:rPr>
        <w:t xml:space="preserve"> Structure of 1α ,25(OH)</w:t>
      </w:r>
      <w:r>
        <w:rPr>
          <w:color w:val="000000"/>
          <w:szCs w:val="24"/>
          <w:vertAlign w:val="subscript"/>
          <w:lang w:val="en-US"/>
        </w:rPr>
        <w:t>2</w:t>
      </w:r>
      <w:r>
        <w:rPr>
          <w:color w:val="000000"/>
          <w:szCs w:val="24"/>
          <w:lang w:val="en-US"/>
        </w:rPr>
        <w:t>D</w:t>
      </w:r>
      <w:r>
        <w:rPr>
          <w:color w:val="000000"/>
          <w:szCs w:val="24"/>
          <w:vertAlign w:val="subscript"/>
          <w:lang w:val="en-US"/>
        </w:rPr>
        <w:t>3</w:t>
      </w:r>
      <w:r>
        <w:rPr>
          <w:color w:val="000000"/>
          <w:szCs w:val="24"/>
          <w:lang w:val="en-US"/>
        </w:rPr>
        <w:t xml:space="preserve"> and its most prominent analogues [13]</w:t>
      </w:r>
    </w:p>
    <w:p w14:paraId="58B0ED46" w14:textId="77777777" w:rsidR="008E37DD" w:rsidRPr="008840D2" w:rsidRDefault="008E37DD" w:rsidP="00F1043D">
      <w:pPr>
        <w:pBdr>
          <w:top w:val="nil"/>
          <w:left w:val="nil"/>
          <w:bottom w:val="nil"/>
          <w:right w:val="nil"/>
          <w:between w:val="nil"/>
        </w:pBdr>
        <w:spacing w:line="240" w:lineRule="auto"/>
        <w:jc w:val="center"/>
        <w:rPr>
          <w:color w:val="000000"/>
          <w:szCs w:val="24"/>
          <w:lang w:val="en-US"/>
        </w:rPr>
      </w:pPr>
    </w:p>
    <w:p w14:paraId="0000005B" w14:textId="77777777" w:rsidR="003A1FEB" w:rsidRPr="008840D2" w:rsidRDefault="002844AC" w:rsidP="00C95FA7">
      <w:pPr>
        <w:pStyle w:val="BodyText"/>
      </w:pPr>
      <w:r>
        <w:lastRenderedPageBreak/>
        <w:t>Even small changes in the structure of VDR ligands can lead to noticeable functional differences. The side chain modifications, introduction of heteroatoms, fluorine, additional double or triple bonds, as well as epimerization of individual centers can change the configuration of the ligand–receptor complex and affect transcriptional activity [9]. Also, such changes have been used to produce compounds with higher activity, increased metabolic stability, or reduced calcemic effect [14].</w:t>
      </w:r>
    </w:p>
    <w:p w14:paraId="0000005C" w14:textId="77777777" w:rsidR="003A1FEB" w:rsidRPr="008840D2" w:rsidRDefault="002844AC" w:rsidP="00C95FA7">
      <w:pPr>
        <w:pStyle w:val="BodyText"/>
      </w:pPr>
      <w:r>
        <w:t>The functional complexity of VDR ligands is related not only to their ability to bind to the receptor, but also to the conformational changes they induce after binding. Different ligands differently stabilize the ligand-binding domain of the VDR and the AF-2 region, which is necessary for interaction with coactivators [9]. Structural studies have shown that the exact positioning and stabilization of helix 12 are critical determinants of receptor activation state [15]. Moreover, individual vitamin D analogues recruit VDR coactivators differently and the selectivity of analog action is determined not only by affinity to the receptor, but also by the tissue context, metabolism, and regulatory interactions [16,17].</w:t>
      </w:r>
    </w:p>
    <w:p w14:paraId="0000005D" w14:textId="743B476A" w:rsidR="003A1FEB" w:rsidRPr="008840D2" w:rsidRDefault="002844AC" w:rsidP="00C95FA7">
      <w:pPr>
        <w:pStyle w:val="BodyText"/>
      </w:pPr>
      <w:r>
        <w:t>Non-</w:t>
      </w:r>
      <w:proofErr w:type="spellStart"/>
      <w:r>
        <w:t>secosteroid</w:t>
      </w:r>
      <w:r w:rsidR="00F854DF">
        <w:t>al</w:t>
      </w:r>
      <w:proofErr w:type="spellEnd"/>
      <w:r>
        <w:t xml:space="preserve"> VDR ligands create an additional level of diversity. Non-</w:t>
      </w:r>
      <w:proofErr w:type="spellStart"/>
      <w:r>
        <w:t>secosteroid</w:t>
      </w:r>
      <w:r w:rsidR="00F854DF">
        <w:t>al</w:t>
      </w:r>
      <w:proofErr w:type="spellEnd"/>
      <w:r>
        <w:t xml:space="preserve"> modulators can exhibit tissue selectivity and reduced calcemic effect [18], and the derivatives of lithocholic acid are also able to selectively activate VDR [19]. Thus, VDR ligands should be considered not as a single class of molecules, but as a wide range of compounds in which structural differences are directly related to differences in biological activity, selectivity, and pharmacological profile.</w:t>
      </w:r>
    </w:p>
    <w:p w14:paraId="0000005E" w14:textId="77777777" w:rsidR="003A1FEB" w:rsidRPr="008840D2" w:rsidRDefault="003A1FEB">
      <w:pPr>
        <w:pBdr>
          <w:top w:val="nil"/>
          <w:left w:val="nil"/>
          <w:bottom w:val="nil"/>
          <w:right w:val="nil"/>
          <w:between w:val="nil"/>
        </w:pBdr>
        <w:ind w:left="165" w:right="445" w:firstLine="707"/>
        <w:rPr>
          <w:b/>
          <w:bCs/>
          <w:color w:val="000000"/>
          <w:szCs w:val="24"/>
          <w:lang w:val="en-US"/>
        </w:rPr>
      </w:pPr>
    </w:p>
    <w:p w14:paraId="0000005F" w14:textId="77777777" w:rsidR="003A1FEB" w:rsidRPr="008840D2" w:rsidRDefault="002844AC">
      <w:pPr>
        <w:pStyle w:val="Heading2"/>
        <w:rPr>
          <w:lang w:val="en-US"/>
        </w:rPr>
      </w:pPr>
      <w:bookmarkStart w:id="16" w:name="_Toc227014981"/>
      <w:r>
        <w:rPr>
          <w:lang w:val="en-US"/>
        </w:rPr>
        <w:t xml:space="preserve">1.4 Role of computational and </w:t>
      </w:r>
      <w:proofErr w:type="spellStart"/>
      <w:r>
        <w:rPr>
          <w:lang w:val="en-US"/>
        </w:rPr>
        <w:t>chemoinformatics</w:t>
      </w:r>
      <w:proofErr w:type="spellEnd"/>
      <w:r>
        <w:rPr>
          <w:lang w:val="en-US"/>
        </w:rPr>
        <w:t xml:space="preserve"> approaches in VDR ligand research</w:t>
      </w:r>
      <w:bookmarkEnd w:id="16"/>
    </w:p>
    <w:p w14:paraId="00000060" w14:textId="31C7856D" w:rsidR="003A1FEB" w:rsidRPr="00666416" w:rsidRDefault="002844AC" w:rsidP="008E37DD">
      <w:pPr>
        <w:ind w:right="-250" w:firstLine="720"/>
        <w:rPr>
          <w:color w:val="000000"/>
          <w:szCs w:val="24"/>
          <w:lang w:val="en-US"/>
        </w:rPr>
      </w:pPr>
      <w:r>
        <w:t>The structural diversity of ligands requires computational analysis to identify features that determine agonistic or antagonistic activity [20]. The conversion of molecules into string machine readable formats such as simplified molecular input line entry system (SMILES) or using standardized chemical identifiers for instance InChI provides structured data storage and mapping. Physicochemical descriptors, like molecular weight (MW), lipophilicity coefficient (</w:t>
      </w:r>
      <w:proofErr w:type="spellStart"/>
      <w:r>
        <w:t>logP</w:t>
      </w:r>
      <w:proofErr w:type="spellEnd"/>
      <w:r>
        <w:t xml:space="preserve">), topological polar surface </w:t>
      </w:r>
      <w:r w:rsidR="00C76CB0">
        <w:t>area</w:t>
      </w:r>
      <w:r w:rsidR="00BC6443">
        <w:t xml:space="preserve"> </w:t>
      </w:r>
      <w:r>
        <w:t xml:space="preserve">(TPSA), and hydrogen bond donors (HBD) and acceptors (HBA) are used to evaluate pharmacokinetic properties [5]. Chemical structure fingerprints such as Morgan/ECFP or MACCS made it possible to </w:t>
      </w:r>
      <w:r>
        <w:lastRenderedPageBreak/>
        <w:t xml:space="preserve">identify common structural relations and can be used to perform clustering for identifying structural similarities [20,21]. Various visualization methods such as principal component analysis (PCA), t-distributed stochastic neighbor embedding (t-SNE), uniform manifold approximation and projection (UMAP) and Kernel density estimation (KDE) help with dimensional reduction and provide distribution of various properties [22]. Docking, molecular dynamics and machine learning expand the understanding of the interaction of VDR with its ligands and increase the accuracy of predictions [23,24]. </w:t>
      </w:r>
    </w:p>
    <w:p w14:paraId="00000061" w14:textId="77777777" w:rsidR="003A1FEB" w:rsidRPr="008840D2" w:rsidRDefault="002844AC" w:rsidP="00C95FA7">
      <w:pPr>
        <w:pStyle w:val="BodyText"/>
      </w:pPr>
      <w:r>
        <w:t>Despite the large number of publications, most VDR ligands studies are descriptive in nature and do not provide standardized databases. For example, Maestro and Seoane catalogued 1,778 ligands but did not create an accessible digital database [12]. The lack of unified SMILES/InChI and incomplete information about their physicochemical properties limit large scale comparative analysis. Even modern research, such as the classification of VDR agonists and antagonists using machine learning uses limited datasets [20]. Systematic clustering and visualization of the chemical space of ligands remain rare, despite the proven effectiveness of these methods [22].</w:t>
      </w:r>
    </w:p>
    <w:p w14:paraId="00000062" w14:textId="77777777" w:rsidR="003A1FEB" w:rsidRPr="008840D2" w:rsidRDefault="002844AC" w:rsidP="00C95FA7">
      <w:pPr>
        <w:pStyle w:val="BodyText"/>
      </w:pPr>
      <w:r>
        <w:t xml:space="preserve">A unified computing framework is needed for the organization, analysis, and visualization of VDR ligands. Standardization of structures, calculation of descriptors, and application of clustering methods </w:t>
      </w:r>
      <w:proofErr w:type="gramStart"/>
      <w:r>
        <w:t>allows</w:t>
      </w:r>
      <w:proofErr w:type="gramEnd"/>
      <w:r>
        <w:t xml:space="preserve"> systematic mapping into the chemical space and ensure reproducibility of the results.</w:t>
      </w:r>
    </w:p>
    <w:p w14:paraId="00000063" w14:textId="77777777" w:rsidR="003A1FEB" w:rsidRPr="008840D2" w:rsidRDefault="003A1FEB">
      <w:pPr>
        <w:pBdr>
          <w:top w:val="nil"/>
          <w:left w:val="nil"/>
          <w:bottom w:val="nil"/>
          <w:right w:val="nil"/>
          <w:between w:val="nil"/>
        </w:pBdr>
        <w:ind w:firstLine="720"/>
        <w:rPr>
          <w:color w:val="000000"/>
          <w:szCs w:val="24"/>
          <w:lang w:val="en-US"/>
        </w:rPr>
      </w:pPr>
    </w:p>
    <w:p w14:paraId="00000064" w14:textId="77777777" w:rsidR="003A1FEB" w:rsidRPr="008840D2" w:rsidRDefault="002844AC">
      <w:pPr>
        <w:rPr>
          <w:b/>
          <w:bCs/>
          <w:sz w:val="28"/>
          <w:szCs w:val="28"/>
          <w:lang w:val="en-US"/>
        </w:rPr>
      </w:pPr>
      <w:bookmarkStart w:id="17" w:name="_heading=h.u101usoppp93" w:colFirst="0" w:colLast="0"/>
      <w:bookmarkEnd w:id="17"/>
      <w:r>
        <w:rPr>
          <w:lang w:val="en-US"/>
        </w:rPr>
        <w:br w:type="page"/>
      </w:r>
    </w:p>
    <w:p w14:paraId="00000065" w14:textId="77777777" w:rsidR="003A1FEB" w:rsidRPr="008840D2" w:rsidRDefault="002844AC">
      <w:pPr>
        <w:pStyle w:val="Heading1"/>
        <w:numPr>
          <w:ilvl w:val="0"/>
          <w:numId w:val="1"/>
        </w:numPr>
        <w:tabs>
          <w:tab w:val="left" w:pos="429"/>
        </w:tabs>
        <w:ind w:left="429" w:hanging="264"/>
        <w:rPr>
          <w:lang w:val="en-US"/>
        </w:rPr>
      </w:pPr>
      <w:bookmarkStart w:id="18" w:name="_Toc227014982"/>
      <w:r>
        <w:rPr>
          <w:lang w:val="en-US"/>
        </w:rPr>
        <w:lastRenderedPageBreak/>
        <w:t>AIMS OF THE THESIS PROJECT</w:t>
      </w:r>
      <w:bookmarkEnd w:id="18"/>
    </w:p>
    <w:p w14:paraId="00000066" w14:textId="77777777" w:rsidR="003A1FEB" w:rsidRPr="008840D2" w:rsidRDefault="002844AC" w:rsidP="00C95FA7">
      <w:pPr>
        <w:pStyle w:val="BodyText"/>
      </w:pPr>
      <w:r>
        <w:t>It is reasonable to assume that the chemical space of VDR ligands may be organized into distinct structural clusters reflecting their underlying physicochemical diversity. Compounds sharing similar molecular fingerprint patterns are likely to exhibit comparable physicochemical properties, which could be associated with related receptor binding modes and, potentially, similar biological activity profiles.</w:t>
      </w:r>
    </w:p>
    <w:p w14:paraId="00000067" w14:textId="77777777" w:rsidR="003A1FEB" w:rsidRPr="008840D2" w:rsidRDefault="002844AC" w:rsidP="00C95FA7">
      <w:pPr>
        <w:pStyle w:val="BodyText"/>
      </w:pPr>
      <w:r>
        <w:t>This study contains the following aims:</w:t>
      </w:r>
    </w:p>
    <w:p w14:paraId="00000068" w14:textId="77777777" w:rsidR="003A1FEB" w:rsidRPr="008840D2" w:rsidRDefault="002844AC" w:rsidP="00C95FA7">
      <w:pPr>
        <w:pStyle w:val="BodyText"/>
      </w:pPr>
      <w:r>
        <w:rPr>
          <w:b/>
          <w:bCs/>
        </w:rPr>
        <w:t xml:space="preserve">Aim 1. </w:t>
      </w:r>
      <w:r>
        <w:t xml:space="preserve">To extract and digitize ligand structures reported in Maestro and Seoane, converting them into standardized computational representations (SMILES and InChI). </w:t>
      </w:r>
    </w:p>
    <w:p w14:paraId="00000069" w14:textId="77777777" w:rsidR="003A1FEB" w:rsidRPr="008840D2" w:rsidRDefault="002844AC" w:rsidP="00C95FA7">
      <w:pPr>
        <w:pStyle w:val="BodyText"/>
      </w:pPr>
      <w:r>
        <w:rPr>
          <w:b/>
          <w:bCs/>
        </w:rPr>
        <w:t xml:space="preserve">Aim 2. </w:t>
      </w:r>
      <w:r>
        <w:t xml:space="preserve">To calculate the key </w:t>
      </w:r>
      <w:proofErr w:type="spellStart"/>
      <w:r>
        <w:t>physico</w:t>
      </w:r>
      <w:proofErr w:type="spellEnd"/>
      <w:r>
        <w:t xml:space="preserve">-chemical properties of all ligands using </w:t>
      </w:r>
      <w:proofErr w:type="spellStart"/>
      <w:r>
        <w:t>RDKit</w:t>
      </w:r>
      <w:proofErr w:type="spellEnd"/>
      <w:r>
        <w:t>, compare them with PubChem records, and establish the correspondence between calculated and reported values.</w:t>
      </w:r>
    </w:p>
    <w:p w14:paraId="0000006A" w14:textId="77777777" w:rsidR="003A1FEB" w:rsidRPr="008840D2" w:rsidRDefault="002844AC" w:rsidP="00C95FA7">
      <w:pPr>
        <w:pStyle w:val="BodyText"/>
      </w:pPr>
      <w:r>
        <w:rPr>
          <w:b/>
          <w:bCs/>
        </w:rPr>
        <w:t xml:space="preserve">Aim 3. </w:t>
      </w:r>
      <w:r>
        <w:t>To classify VDR ligands through chemical fingerprint-based clustering and to analyze and visualize their structural diversity and property distribution using similarity measures and KDE.</w:t>
      </w:r>
    </w:p>
    <w:p w14:paraId="0000006B" w14:textId="77777777" w:rsidR="003A1FEB" w:rsidRPr="008840D2" w:rsidRDefault="002844AC">
      <w:pPr>
        <w:rPr>
          <w:szCs w:val="24"/>
          <w:lang w:val="en-US"/>
        </w:rPr>
      </w:pPr>
      <w:r>
        <w:rPr>
          <w:lang w:val="en-US"/>
        </w:rPr>
        <w:br w:type="page"/>
      </w:r>
    </w:p>
    <w:p w14:paraId="0000006D" w14:textId="3A010836" w:rsidR="003A1FEB" w:rsidRPr="008840D2" w:rsidRDefault="002844AC" w:rsidP="00F1043D">
      <w:pPr>
        <w:pStyle w:val="Heading1"/>
        <w:numPr>
          <w:ilvl w:val="0"/>
          <w:numId w:val="1"/>
        </w:numPr>
        <w:tabs>
          <w:tab w:val="left" w:pos="445"/>
        </w:tabs>
        <w:ind w:left="445" w:hanging="280"/>
        <w:rPr>
          <w:lang w:val="en-US"/>
        </w:rPr>
      </w:pPr>
      <w:bookmarkStart w:id="19" w:name="_Toc227014983"/>
      <w:r>
        <w:rPr>
          <w:lang w:val="en-US"/>
        </w:rPr>
        <w:lastRenderedPageBreak/>
        <w:t>MATERIALS AND METHODS</w:t>
      </w:r>
      <w:bookmarkStart w:id="20" w:name="_heading=h.bdzy63a97jyq" w:colFirst="0" w:colLast="0"/>
      <w:bookmarkEnd w:id="19"/>
      <w:bookmarkEnd w:id="20"/>
    </w:p>
    <w:p w14:paraId="0000006E" w14:textId="77777777" w:rsidR="003A1FEB" w:rsidRPr="008840D2" w:rsidRDefault="002844AC">
      <w:pPr>
        <w:pStyle w:val="Heading2"/>
        <w:rPr>
          <w:lang w:val="en-US"/>
        </w:rPr>
      </w:pPr>
      <w:bookmarkStart w:id="21" w:name="_Toc227014984"/>
      <w:r>
        <w:rPr>
          <w:lang w:val="en-US"/>
        </w:rPr>
        <w:t>3.1 Ligand structure preparation and standardization</w:t>
      </w:r>
      <w:bookmarkEnd w:id="21"/>
    </w:p>
    <w:p w14:paraId="1FAEC029" w14:textId="77777777" w:rsidR="00326FF0" w:rsidRPr="008840D2" w:rsidRDefault="002844AC" w:rsidP="00C95FA7">
      <w:pPr>
        <w:pStyle w:val="BodyText"/>
      </w:pPr>
      <w:r>
        <w:t xml:space="preserve">The set of ligands was formed based on </w:t>
      </w:r>
      <w:proofErr w:type="gramStart"/>
      <w:r>
        <w:t>the review</w:t>
      </w:r>
      <w:proofErr w:type="gramEnd"/>
      <w:r>
        <w:t xml:space="preserve"> work by Maestro and Seoane, which included 1778 VDR ligands, from which a subsample of 962 compounds was selected for this study, converted to a standardized digital format. </w:t>
      </w:r>
    </w:p>
    <w:p w14:paraId="626555C2" w14:textId="5C2421B6" w:rsidR="00326FF0" w:rsidRPr="008840D2" w:rsidRDefault="00326FF0" w:rsidP="00C95FA7">
      <w:pPr>
        <w:pStyle w:val="BodyText"/>
      </w:pPr>
      <w:r>
        <w:t xml:space="preserve">The remaining 766 compounds were excluded because the corresponding original CDX files, particularly for structures reported between 2014 and 2022, were not available, whereas 50 failed </w:t>
      </w:r>
      <w:proofErr w:type="gramStart"/>
      <w:r>
        <w:t>conversion</w:t>
      </w:r>
      <w:proofErr w:type="gramEnd"/>
      <w:r>
        <w:t xml:space="preserve"> into structurally reliable digital representations suitable for further analysis.</w:t>
      </w:r>
    </w:p>
    <w:p w14:paraId="00000071" w14:textId="06C5EE52" w:rsidR="003A1FEB" w:rsidRPr="008840D2" w:rsidRDefault="002844AC" w:rsidP="00C95FA7">
      <w:pPr>
        <w:pStyle w:val="BodyText"/>
      </w:pPr>
      <w:r>
        <w:t xml:space="preserve">Original ligand structures were provided as </w:t>
      </w:r>
      <w:proofErr w:type="spellStart"/>
      <w:r>
        <w:t>ChemDraw</w:t>
      </w:r>
      <w:proofErr w:type="spellEnd"/>
      <w:r>
        <w:t xml:space="preserve"> Ultra CDX files by Prof. Miguel Maestro. Each structure was manually checked and adjusted to consider the bond orders, geometric (E/Z) and stereochemical (R/S) configurations. After curation, the structures were saved in the MOL V3000 format and converted to isomeric SMILES using the Open Babel GUI while preserving stereochemical information. The correctness of SMILES was additionally verified through PubChem by visually comparing structures. </w:t>
      </w:r>
    </w:p>
    <w:p w14:paraId="00000072" w14:textId="77777777" w:rsidR="003A1FEB" w:rsidRPr="008840D2" w:rsidRDefault="002844AC" w:rsidP="00C95FA7">
      <w:pPr>
        <w:pStyle w:val="BodyText"/>
      </w:pPr>
      <w:r>
        <w:t xml:space="preserve">For further standardization, an </w:t>
      </w:r>
      <w:proofErr w:type="spellStart"/>
      <w:r>
        <w:t>RDKit</w:t>
      </w:r>
      <w:proofErr w:type="spellEnd"/>
      <w:r>
        <w:t xml:space="preserve">-based Python script was used, in which based on SMILES, InChI and </w:t>
      </w:r>
      <w:proofErr w:type="spellStart"/>
      <w:r>
        <w:t>InChIKey</w:t>
      </w:r>
      <w:proofErr w:type="spellEnd"/>
      <w:r>
        <w:t xml:space="preserve"> were generated. The final data set was exported in CSV format and used for subsequent descriptor calculation and chemoinformatic analysis.</w:t>
      </w:r>
    </w:p>
    <w:p w14:paraId="00000073" w14:textId="77777777" w:rsidR="003A1FEB" w:rsidRPr="008840D2" w:rsidRDefault="003A1FEB">
      <w:pPr>
        <w:pBdr>
          <w:top w:val="nil"/>
          <w:left w:val="nil"/>
          <w:bottom w:val="nil"/>
          <w:right w:val="nil"/>
          <w:between w:val="nil"/>
        </w:pBdr>
        <w:ind w:left="165" w:right="445" w:firstLine="707"/>
        <w:rPr>
          <w:color w:val="000000"/>
          <w:szCs w:val="24"/>
          <w:lang w:val="en-US"/>
        </w:rPr>
      </w:pPr>
    </w:p>
    <w:p w14:paraId="00000074" w14:textId="77777777" w:rsidR="003A1FEB" w:rsidRPr="008840D2" w:rsidRDefault="002844AC">
      <w:pPr>
        <w:pStyle w:val="Heading2"/>
        <w:rPr>
          <w:lang w:val="en-US"/>
        </w:rPr>
      </w:pPr>
      <w:bookmarkStart w:id="22" w:name="_Toc227014985"/>
      <w:r>
        <w:rPr>
          <w:lang w:val="en-US"/>
        </w:rPr>
        <w:t xml:space="preserve">3.2 Calculation and validation of </w:t>
      </w:r>
      <w:proofErr w:type="spellStart"/>
      <w:r>
        <w:rPr>
          <w:lang w:val="en-US"/>
        </w:rPr>
        <w:t>physico</w:t>
      </w:r>
      <w:proofErr w:type="spellEnd"/>
      <w:r>
        <w:rPr>
          <w:lang w:val="en-US"/>
        </w:rPr>
        <w:t>-chemical descriptors</w:t>
      </w:r>
      <w:bookmarkEnd w:id="22"/>
    </w:p>
    <w:p w14:paraId="00000075" w14:textId="5CBF50C2" w:rsidR="003A1FEB" w:rsidRPr="008840D2" w:rsidRDefault="002844AC" w:rsidP="00C95FA7">
      <w:pPr>
        <w:pStyle w:val="BodyText"/>
      </w:pPr>
      <w:r>
        <w:t xml:space="preserve">Physicochemical descriptors were calculated for the curated set of 962 vitamin D receptor ligands after structural standardization. All calculations were performed in Python within the Anaconda environment using the </w:t>
      </w:r>
      <w:proofErr w:type="spellStart"/>
      <w:r>
        <w:t>RDKit</w:t>
      </w:r>
      <w:proofErr w:type="spellEnd"/>
      <w:r>
        <w:t xml:space="preserve"> cheminformatics library. Prior to descriptor calculation, SMILES strings were parsed into </w:t>
      </w:r>
      <w:proofErr w:type="spellStart"/>
      <w:r>
        <w:t>RDKit</w:t>
      </w:r>
      <w:proofErr w:type="spellEnd"/>
      <w:r>
        <w:t xml:space="preserve"> molecular objects. </w:t>
      </w:r>
    </w:p>
    <w:p w14:paraId="00000076" w14:textId="31CB9F77" w:rsidR="003A1FEB" w:rsidRPr="00C95FA7" w:rsidRDefault="002844AC" w:rsidP="00C95FA7">
      <w:pPr>
        <w:pStyle w:val="BodyText"/>
      </w:pPr>
      <w:r>
        <w:t xml:space="preserve">For each validated ligand, a set of key physicochemical descriptors was calculated, including MW, </w:t>
      </w:r>
      <w:proofErr w:type="spellStart"/>
      <w:r>
        <w:t>logP</w:t>
      </w:r>
      <w:proofErr w:type="spellEnd"/>
      <w:r>
        <w:t xml:space="preserve">, TPSA, HBD, HBA, </w:t>
      </w:r>
      <w:proofErr w:type="spellStart"/>
      <w:r>
        <w:t>RotB</w:t>
      </w:r>
      <w:proofErr w:type="spellEnd"/>
      <w:r>
        <w:t xml:space="preserve">, ring count, and formal molecular charge. These parameters were computed using standard </w:t>
      </w:r>
      <w:proofErr w:type="spellStart"/>
      <w:r>
        <w:t>RDKit</w:t>
      </w:r>
      <w:proofErr w:type="spellEnd"/>
      <w:r>
        <w:t xml:space="preserve"> modules, including Descriptors, Crippen, Lipinski, and </w:t>
      </w:r>
      <w:proofErr w:type="spellStart"/>
      <w:r>
        <w:rPr>
          <w:i/>
          <w:iCs/>
        </w:rPr>
        <w:t>rdMolDescriptors</w:t>
      </w:r>
      <w:proofErr w:type="spellEnd"/>
      <w:r>
        <w:t>.</w:t>
      </w:r>
    </w:p>
    <w:p w14:paraId="00000077" w14:textId="78521251" w:rsidR="003A1FEB" w:rsidRPr="008840D2" w:rsidRDefault="00326FF0" w:rsidP="00C95FA7">
      <w:pPr>
        <w:pStyle w:val="BodyText"/>
      </w:pPr>
      <w:r>
        <w:t xml:space="preserve">In addition to continuous descriptor values, rule-based drug-likeness criteria were encoded as Boolean variables. Lipinski’s Rule of Five was evaluated using the thresholds </w:t>
      </w:r>
      <w:r>
        <w:lastRenderedPageBreak/>
        <w:t xml:space="preserve">MW ≤ 500 Da, </w:t>
      </w:r>
      <w:proofErr w:type="spellStart"/>
      <w:r>
        <w:t>logP</w:t>
      </w:r>
      <w:proofErr w:type="spellEnd"/>
      <w:r>
        <w:t xml:space="preserve"> ≤ 5, HBD ≤ 5, and HBA ≤ 10. Veber criteria were assessed using </w:t>
      </w:r>
      <w:proofErr w:type="spellStart"/>
      <w:r>
        <w:t>RotB</w:t>
      </w:r>
      <w:proofErr w:type="spellEnd"/>
      <w:r>
        <w:t xml:space="preserve"> ≤ 10 and TPSA ≤ 140 Å². This approach enabled rapid identification of compounds that satisfied or violated commonly used oral bioavailability guidelines.</w:t>
      </w:r>
    </w:p>
    <w:p w14:paraId="62FD68E4" w14:textId="2DD44DA6" w:rsidR="008553FB" w:rsidRPr="008840D2" w:rsidRDefault="008553FB" w:rsidP="00C95FA7">
      <w:pPr>
        <w:pStyle w:val="BodyText"/>
      </w:pPr>
      <w:r>
        <w:t xml:space="preserve">A comparative assessment of the </w:t>
      </w:r>
      <w:proofErr w:type="spellStart"/>
      <w:r>
        <w:t>physico</w:t>
      </w:r>
      <w:proofErr w:type="spellEnd"/>
      <w:r>
        <w:t xml:space="preserve">-chemical characteristics calculated using </w:t>
      </w:r>
      <w:proofErr w:type="spellStart"/>
      <w:r>
        <w:t>RDKit</w:t>
      </w:r>
      <w:proofErr w:type="spellEnd"/>
      <w:r>
        <w:t xml:space="preserve"> and those available in PubChem was also carried out. However, 423 compounds from the curated dataset could not be obtained in PubChem. This limited recoverability probably reflects the incomplete representation of highly specialized VDR ligands in public chemical databases. For the subset of compounds that were successfully identified, the descriptor values corresponded to the results obtained using </w:t>
      </w:r>
      <w:proofErr w:type="spellStart"/>
      <w:r>
        <w:t>RDKit</w:t>
      </w:r>
      <w:proofErr w:type="spellEnd"/>
      <w:r>
        <w:t>, which confirms the correctness of the structure and computational workflow used in this study.</w:t>
      </w:r>
    </w:p>
    <w:p w14:paraId="00000078" w14:textId="77777777" w:rsidR="003A1FEB" w:rsidRPr="008840D2" w:rsidRDefault="003A1FEB">
      <w:pPr>
        <w:pBdr>
          <w:top w:val="nil"/>
          <w:left w:val="nil"/>
          <w:bottom w:val="nil"/>
          <w:right w:val="nil"/>
          <w:between w:val="nil"/>
        </w:pBdr>
        <w:ind w:left="165" w:right="445" w:firstLine="707"/>
        <w:rPr>
          <w:color w:val="000000"/>
          <w:szCs w:val="24"/>
          <w:lang w:val="en-US"/>
        </w:rPr>
      </w:pPr>
    </w:p>
    <w:p w14:paraId="00000079" w14:textId="77777777" w:rsidR="003A1FEB" w:rsidRPr="008840D2" w:rsidRDefault="002844AC">
      <w:pPr>
        <w:pStyle w:val="Heading2"/>
        <w:rPr>
          <w:lang w:val="en-US"/>
        </w:rPr>
      </w:pPr>
      <w:bookmarkStart w:id="23" w:name="_Toc227014986"/>
      <w:r>
        <w:rPr>
          <w:lang w:val="en-US"/>
        </w:rPr>
        <w:t>3.3 Evaluation of natural product–likeness</w:t>
      </w:r>
      <w:bookmarkEnd w:id="23"/>
    </w:p>
    <w:p w14:paraId="0000007A" w14:textId="77777777" w:rsidR="003A1FEB" w:rsidRPr="008840D2" w:rsidRDefault="002844AC" w:rsidP="00C95FA7">
      <w:pPr>
        <w:pStyle w:val="BodyText"/>
      </w:pPr>
      <w:r>
        <w:t xml:space="preserve">The natural product–likeness (NP-likeness) for all VDR ligands was evaluated based on standardized SMILES representations using the </w:t>
      </w:r>
      <w:proofErr w:type="spellStart"/>
      <w:r>
        <w:rPr>
          <w:i/>
          <w:iCs/>
        </w:rPr>
        <w:t>npscorer</w:t>
      </w:r>
      <w:proofErr w:type="spellEnd"/>
      <w:r>
        <w:t xml:space="preserve"> module in the Python/</w:t>
      </w:r>
      <w:proofErr w:type="spellStart"/>
      <w:r>
        <w:t>RDKit</w:t>
      </w:r>
      <w:proofErr w:type="spellEnd"/>
      <w:r>
        <w:t xml:space="preserve"> environment. A CSV file containing the connection identifiers and corresponding SMILES strings was used as input data. Before calculation, each SMILES string was transformed into an </w:t>
      </w:r>
      <w:proofErr w:type="spellStart"/>
      <w:r>
        <w:t>RDKit</w:t>
      </w:r>
      <w:proofErr w:type="spellEnd"/>
      <w:r>
        <w:t xml:space="preserve"> molecular object. A pre-trained model was used for the calculation </w:t>
      </w:r>
      <w:r>
        <w:rPr>
          <w:i/>
          <w:iCs/>
        </w:rPr>
        <w:t>publicnp.model.gz</w:t>
      </w:r>
      <w:r>
        <w:t xml:space="preserve"> based on a piecemeal statistical approach. </w:t>
      </w:r>
    </w:p>
    <w:p w14:paraId="48294152" w14:textId="77777777" w:rsidR="00F1043D" w:rsidRPr="008840D2" w:rsidRDefault="002844AC" w:rsidP="00C95FA7">
      <w:pPr>
        <w:pStyle w:val="BodyText"/>
      </w:pPr>
      <w:r>
        <w:t xml:space="preserve">For each valid NP-likeness molecule, the score was calculated using the </w:t>
      </w:r>
      <w:proofErr w:type="spellStart"/>
      <w:r>
        <w:rPr>
          <w:i/>
          <w:iCs/>
        </w:rPr>
        <w:t>scoreMolWConfidence</w:t>
      </w:r>
      <w:proofErr w:type="spellEnd"/>
      <w:r>
        <w:t xml:space="preserve"> function, which returned two parameters: the </w:t>
      </w:r>
      <w:proofErr w:type="spellStart"/>
      <w:r>
        <w:rPr>
          <w:i/>
          <w:iCs/>
        </w:rPr>
        <w:t>NP_score</w:t>
      </w:r>
      <w:proofErr w:type="spellEnd"/>
      <w:r>
        <w:t xml:space="preserve"> value and the </w:t>
      </w:r>
      <w:proofErr w:type="spellStart"/>
      <w:r>
        <w:t>NP_confidence</w:t>
      </w:r>
      <w:proofErr w:type="spellEnd"/>
      <w:r>
        <w:t xml:space="preserve"> indicator. The </w:t>
      </w:r>
      <w:proofErr w:type="spellStart"/>
      <w:r>
        <w:rPr>
          <w:i/>
          <w:iCs/>
        </w:rPr>
        <w:t>NP_score</w:t>
      </w:r>
      <w:proofErr w:type="spellEnd"/>
      <w:r>
        <w:t xml:space="preserve"> value was determined as the sum of the contributions of fragments found in the training model, normalized by the number of atoms in the molecule:</w:t>
      </w:r>
    </w:p>
    <w:p w14:paraId="0000007B" w14:textId="207874E5" w:rsidR="003A1FEB" w:rsidRPr="008840D2" w:rsidRDefault="002844AC" w:rsidP="00C95FA7">
      <w:pPr>
        <w:pStyle w:val="BodyText"/>
      </w:pPr>
      <w:r>
        <w:tab/>
      </w:r>
      <w:r>
        <w:tab/>
      </w:r>
      <w:r>
        <w:tab/>
      </w:r>
      <m:oMath>
        <m:r>
          <w:rPr>
            <w:rFonts w:ascii="Cambria Math" w:eastAsia="Cambria Math" w:hAnsi="Cambria Math"/>
          </w:rPr>
          <m:t>NP</m:t>
        </m:r>
        <m:r>
          <m:rPr>
            <m:sty m:val="p"/>
          </m:rPr>
          <w:rPr>
            <w:rFonts w:ascii="Cambria Math" w:eastAsia="Cambria Math" w:hAnsi="Cambria Math"/>
          </w:rPr>
          <m:t>_</m:t>
        </m:r>
        <m:r>
          <w:rPr>
            <w:rFonts w:ascii="Cambria Math" w:eastAsia="Cambria Math" w:hAnsi="Cambria Math"/>
          </w:rPr>
          <m:t>scor</m:t>
        </m:r>
        <m:sSub>
          <m:sSubPr>
            <m:ctrlPr>
              <w:rPr>
                <w:rFonts w:ascii="Cambria Math" w:eastAsia="Cambria Math" w:hAnsi="Cambria Math"/>
              </w:rPr>
            </m:ctrlPr>
          </m:sSubPr>
          <m:e>
            <m:r>
              <w:rPr>
                <w:rFonts w:ascii="Cambria Math" w:eastAsia="Cambria Math" w:hAnsi="Cambria Math"/>
              </w:rPr>
              <m:t>e</m:t>
            </m:r>
          </m:e>
          <m:sub>
            <m:r>
              <w:rPr>
                <w:rFonts w:ascii="Cambria Math" w:eastAsia="Cambria Math" w:hAnsi="Cambria Math"/>
              </w:rPr>
              <m:t>raw</m:t>
            </m:r>
          </m:sub>
        </m:sSub>
        <m:r>
          <m:rPr>
            <m:sty m:val="p"/>
          </m:rPr>
          <w:rPr>
            <w:rFonts w:ascii="Cambria Math" w:eastAsia="Cambria Math" w:hAnsi="Cambria Math"/>
          </w:rPr>
          <m:t>=</m:t>
        </m:r>
        <m:f>
          <m:fPr>
            <m:ctrlPr>
              <w:rPr>
                <w:rFonts w:ascii="Cambria Math" w:eastAsia="Cambria Math" w:hAnsi="Cambria Math"/>
              </w:rPr>
            </m:ctrlPr>
          </m:fPr>
          <m:num>
            <m:r>
              <m:rPr>
                <m:sty m:val="p"/>
              </m:rPr>
              <w:rPr>
                <w:rFonts w:ascii="Cambria Math" w:eastAsia="Cambria Math" w:hAnsi="Cambria Math"/>
              </w:rPr>
              <m:t>∑</m:t>
            </m:r>
            <m:sSub>
              <m:sSubPr>
                <m:ctrlPr>
                  <w:rPr>
                    <w:rFonts w:ascii="Cambria Math" w:eastAsia="Cambria Math" w:hAnsi="Cambria Math"/>
                  </w:rPr>
                </m:ctrlPr>
              </m:sSubPr>
              <m:e>
                <m:r>
                  <w:rPr>
                    <w:rFonts w:ascii="Cambria Math" w:eastAsia="Cambria Math" w:hAnsi="Cambria Math"/>
                  </w:rPr>
                  <m:t>f</m:t>
                </m:r>
              </m:e>
              <m:sub>
                <m:r>
                  <w:rPr>
                    <w:rFonts w:ascii="Cambria Math" w:eastAsia="Cambria Math" w:hAnsi="Cambria Math"/>
                  </w:rPr>
                  <m:t>i</m:t>
                </m:r>
              </m:sub>
            </m:sSub>
          </m:num>
          <m:den>
            <m:sSub>
              <m:sSubPr>
                <m:ctrlPr>
                  <w:rPr>
                    <w:rFonts w:ascii="Cambria Math" w:eastAsia="Cambria Math" w:hAnsi="Cambria Math"/>
                  </w:rPr>
                </m:ctrlPr>
              </m:sSubPr>
              <m:e>
                <m:r>
                  <w:rPr>
                    <w:rFonts w:ascii="Cambria Math" w:eastAsia="Cambria Math" w:hAnsi="Cambria Math"/>
                  </w:rPr>
                  <m:t>N</m:t>
                </m:r>
              </m:e>
              <m:sub>
                <m:r>
                  <w:rPr>
                    <w:rFonts w:ascii="Cambria Math" w:eastAsia="Cambria Math" w:hAnsi="Cambria Math"/>
                  </w:rPr>
                  <m:t>atoms</m:t>
                </m:r>
              </m:sub>
            </m:sSub>
          </m:den>
        </m:f>
      </m:oMath>
      <w:r>
        <w:t xml:space="preserve"> </w:t>
      </w:r>
      <w:r>
        <w:tab/>
      </w:r>
      <w:r>
        <w:tab/>
      </w:r>
      <w:r>
        <w:tab/>
        <w:t>(1)</w:t>
      </w:r>
    </w:p>
    <w:p w14:paraId="0000007C" w14:textId="77777777" w:rsidR="003A1FEB" w:rsidRPr="008840D2" w:rsidRDefault="002844AC" w:rsidP="00C95FA7">
      <w:pPr>
        <w:pStyle w:val="BodyText"/>
      </w:pPr>
      <w:r>
        <w:t xml:space="preserve">Where </w:t>
      </w:r>
      <m:oMath>
        <m:sSub>
          <m:sSubPr>
            <m:ctrlPr>
              <w:rPr>
                <w:rFonts w:ascii="Cambria Math" w:eastAsia="Cambria Math" w:hAnsi="Cambria Math"/>
              </w:rPr>
            </m:ctrlPr>
          </m:sSubPr>
          <m:e>
            <m:r>
              <w:rPr>
                <w:rFonts w:ascii="Cambria Math" w:eastAsia="Cambria Math" w:hAnsi="Cambria Math"/>
              </w:rPr>
              <m:t>f</m:t>
            </m:r>
          </m:e>
          <m:sub>
            <m:r>
              <w:rPr>
                <w:rFonts w:ascii="Cambria Math" w:eastAsia="Cambria Math" w:hAnsi="Cambria Math"/>
              </w:rPr>
              <m:t>i</m:t>
            </m:r>
          </m:sub>
        </m:sSub>
      </m:oMath>
      <w:r>
        <w:t xml:space="preserve"> is contribution of a separate fragment, and​ </w:t>
      </w:r>
      <m:oMath>
        <m:sSub>
          <m:sSubPr>
            <m:ctrlPr>
              <w:rPr>
                <w:rFonts w:ascii="Cambria Math" w:eastAsia="Cambria Math" w:hAnsi="Cambria Math"/>
              </w:rPr>
            </m:ctrlPr>
          </m:sSubPr>
          <m:e>
            <m:r>
              <w:rPr>
                <w:rFonts w:ascii="Cambria Math" w:eastAsia="Cambria Math" w:hAnsi="Cambria Math"/>
              </w:rPr>
              <m:t>N</m:t>
            </m:r>
          </m:e>
          <m:sub>
            <m:r>
              <w:rPr>
                <w:rFonts w:ascii="Cambria Math" w:eastAsia="Cambria Math" w:hAnsi="Cambria Math"/>
              </w:rPr>
              <m:t>atoms</m:t>
            </m:r>
          </m:sub>
        </m:sSub>
      </m:oMath>
      <w:r>
        <w:t xml:space="preserve"> is number of atoms in a molecule. For values above +4 or below -4, a logarithmic correction was applied, and the final score returned in the range from -5 to +5. Higher positive values indicated a greater similarity of the structure with natural compounds, while negative values indicated a more pronounced synthetic character of the molecule. </w:t>
      </w:r>
    </w:p>
    <w:p w14:paraId="483ED02A" w14:textId="77777777" w:rsidR="00F1043D" w:rsidRPr="008840D2" w:rsidRDefault="002844AC" w:rsidP="00C95FA7">
      <w:pPr>
        <w:pStyle w:val="BodyText"/>
      </w:pPr>
      <w:r>
        <w:t>The confidence indicator was calculated using the formula:</w:t>
      </w:r>
    </w:p>
    <w:p w14:paraId="0000007E" w14:textId="10E5D773" w:rsidR="003A1FEB" w:rsidRPr="008840D2" w:rsidRDefault="002844AC" w:rsidP="00C95FA7">
      <w:pPr>
        <w:pStyle w:val="BodyText"/>
      </w:pPr>
      <w:r>
        <w:tab/>
      </w:r>
      <w:r>
        <w:tab/>
      </w:r>
      <w:r>
        <w:tab/>
      </w:r>
      <m:oMath>
        <m:r>
          <w:rPr>
            <w:rFonts w:ascii="Cambria Math" w:eastAsia="Cambria Math" w:hAnsi="Cambria Math"/>
          </w:rPr>
          <m:t>NP</m:t>
        </m:r>
        <m:r>
          <m:rPr>
            <m:sty m:val="p"/>
          </m:rPr>
          <w:rPr>
            <w:rFonts w:ascii="Cambria Math" w:eastAsia="Cambria Math" w:hAnsi="Cambria Math"/>
          </w:rPr>
          <m:t>_</m:t>
        </m:r>
        <m:r>
          <w:rPr>
            <w:rFonts w:ascii="Cambria Math" w:eastAsia="Cambria Math" w:hAnsi="Cambria Math"/>
          </w:rPr>
          <m:t>confidence</m:t>
        </m:r>
        <m:r>
          <m:rPr>
            <m:sty m:val="p"/>
          </m:rPr>
          <w:rPr>
            <w:rFonts w:ascii="Cambria Math" w:eastAsia="Cambria Math" w:hAnsi="Cambria Math"/>
          </w:rPr>
          <m:t>=</m:t>
        </m:r>
        <m:f>
          <m:fPr>
            <m:ctrlPr>
              <w:rPr>
                <w:rFonts w:ascii="Cambria Math" w:eastAsia="Cambria Math" w:hAnsi="Cambria Math"/>
              </w:rPr>
            </m:ctrlPr>
          </m:fPr>
          <m:num>
            <m:sSub>
              <m:sSubPr>
                <m:ctrlPr>
                  <w:rPr>
                    <w:rFonts w:ascii="Cambria Math" w:eastAsia="Cambria Math" w:hAnsi="Cambria Math"/>
                  </w:rPr>
                </m:ctrlPr>
              </m:sSubPr>
              <m:e>
                <m:r>
                  <w:rPr>
                    <w:rFonts w:ascii="Cambria Math" w:eastAsia="Cambria Math" w:hAnsi="Cambria Math"/>
                  </w:rPr>
                  <m:t>N</m:t>
                </m:r>
              </m:e>
              <m:sub>
                <m:r>
                  <w:rPr>
                    <w:rFonts w:ascii="Cambria Math" w:eastAsia="Cambria Math" w:hAnsi="Cambria Math"/>
                  </w:rPr>
                  <m:t>found</m:t>
                </m:r>
              </m:sub>
            </m:sSub>
          </m:num>
          <m:den>
            <m:sSub>
              <m:sSubPr>
                <m:ctrlPr>
                  <w:rPr>
                    <w:rFonts w:ascii="Cambria Math" w:eastAsia="Cambria Math" w:hAnsi="Cambria Math"/>
                  </w:rPr>
                </m:ctrlPr>
              </m:sSubPr>
              <m:e>
                <m:r>
                  <w:rPr>
                    <w:rFonts w:ascii="Cambria Math" w:eastAsia="Cambria Math" w:hAnsi="Cambria Math"/>
                  </w:rPr>
                  <m:t>N</m:t>
                </m:r>
              </m:e>
              <m:sub>
                <m:r>
                  <w:rPr>
                    <w:rFonts w:ascii="Cambria Math" w:eastAsia="Cambria Math" w:hAnsi="Cambria Math"/>
                  </w:rPr>
                  <m:t>all</m:t>
                </m:r>
              </m:sub>
            </m:sSub>
          </m:den>
        </m:f>
      </m:oMath>
      <w:r>
        <w:t xml:space="preserve"> </w:t>
      </w:r>
      <w:r>
        <w:tab/>
      </w:r>
      <w:r>
        <w:tab/>
      </w:r>
      <w:r>
        <w:tab/>
        <w:t>(2)</w:t>
      </w:r>
    </w:p>
    <w:p w14:paraId="0000007F" w14:textId="77777777" w:rsidR="003A1FEB" w:rsidRPr="008840D2" w:rsidRDefault="002844AC" w:rsidP="00C95FA7">
      <w:pPr>
        <w:pStyle w:val="BodyText"/>
      </w:pPr>
      <w:r>
        <w:lastRenderedPageBreak/>
        <w:t>Where ​</w:t>
      </w:r>
      <m:oMath>
        <m:sSub>
          <m:sSubPr>
            <m:ctrlPr>
              <w:rPr>
                <w:rFonts w:ascii="Cambria Math" w:eastAsia="Cambria Math" w:hAnsi="Cambria Math"/>
              </w:rPr>
            </m:ctrlPr>
          </m:sSubPr>
          <m:e>
            <m:r>
              <w:rPr>
                <w:rFonts w:ascii="Cambria Math" w:eastAsia="Cambria Math" w:hAnsi="Cambria Math"/>
              </w:rPr>
              <m:t>N</m:t>
            </m:r>
          </m:e>
          <m:sub>
            <m:r>
              <w:rPr>
                <w:rFonts w:ascii="Cambria Math" w:eastAsia="Cambria Math" w:hAnsi="Cambria Math"/>
              </w:rPr>
              <m:t>found</m:t>
            </m:r>
          </m:sub>
        </m:sSub>
      </m:oMath>
      <w:r>
        <w:t xml:space="preserve"> is number of fragments of the molecule represented in the training model, and ​ </w:t>
      </w:r>
      <m:oMath>
        <m:sSub>
          <m:sSubPr>
            <m:ctrlPr>
              <w:rPr>
                <w:rFonts w:ascii="Cambria Math" w:eastAsia="Cambria Math" w:hAnsi="Cambria Math"/>
              </w:rPr>
            </m:ctrlPr>
          </m:sSubPr>
          <m:e>
            <m:r>
              <w:rPr>
                <w:rFonts w:ascii="Cambria Math" w:eastAsia="Cambria Math" w:hAnsi="Cambria Math"/>
              </w:rPr>
              <m:t>N</m:t>
            </m:r>
          </m:e>
          <m:sub>
            <m:r>
              <w:rPr>
                <w:rFonts w:ascii="Cambria Math" w:eastAsia="Cambria Math" w:hAnsi="Cambria Math"/>
              </w:rPr>
              <m:t>all</m:t>
            </m:r>
          </m:sub>
        </m:sSub>
      </m:oMath>
      <w:r>
        <w:t xml:space="preserve"> is total number of fragments detected. The </w:t>
      </w:r>
      <w:proofErr w:type="spellStart"/>
      <w:r>
        <w:rPr>
          <w:i/>
          <w:iCs/>
        </w:rPr>
        <w:t>NP_confidence</w:t>
      </w:r>
      <w:proofErr w:type="spellEnd"/>
      <w:r>
        <w:t xml:space="preserve"> value ranged from 0 to 1, where higher values indicated a better representation of fragments of this structure in the training model. The obtained parameters were stored as separate </w:t>
      </w:r>
      <w:proofErr w:type="spellStart"/>
      <w:r>
        <w:rPr>
          <w:i/>
          <w:iCs/>
        </w:rPr>
        <w:t>NP_score</w:t>
      </w:r>
      <w:proofErr w:type="spellEnd"/>
      <w:r>
        <w:t xml:space="preserve"> and </w:t>
      </w:r>
      <w:proofErr w:type="spellStart"/>
      <w:r>
        <w:rPr>
          <w:i/>
          <w:iCs/>
        </w:rPr>
        <w:t>NP_confidence</w:t>
      </w:r>
      <w:proofErr w:type="spellEnd"/>
      <w:r>
        <w:t xml:space="preserve"> variables for subsequent analysis.</w:t>
      </w:r>
    </w:p>
    <w:p w14:paraId="00000080" w14:textId="77777777" w:rsidR="003A1FEB" w:rsidRPr="008840D2" w:rsidRDefault="003A1FEB">
      <w:pPr>
        <w:pBdr>
          <w:top w:val="nil"/>
          <w:left w:val="nil"/>
          <w:bottom w:val="nil"/>
          <w:right w:val="nil"/>
          <w:between w:val="nil"/>
        </w:pBdr>
        <w:ind w:left="165" w:right="445" w:firstLine="707"/>
        <w:rPr>
          <w:color w:val="000000"/>
          <w:szCs w:val="24"/>
          <w:lang w:val="en-US"/>
        </w:rPr>
      </w:pPr>
    </w:p>
    <w:p w14:paraId="00000081" w14:textId="77777777" w:rsidR="003A1FEB" w:rsidRPr="008840D2" w:rsidRDefault="002844AC">
      <w:pPr>
        <w:pStyle w:val="Heading2"/>
        <w:rPr>
          <w:lang w:val="en-US"/>
        </w:rPr>
      </w:pPr>
      <w:bookmarkStart w:id="24" w:name="_Toc227014987"/>
      <w:r>
        <w:rPr>
          <w:lang w:val="en-US"/>
        </w:rPr>
        <w:t>3.4 Molecular Fingerprints</w:t>
      </w:r>
      <w:bookmarkEnd w:id="24"/>
    </w:p>
    <w:p w14:paraId="00000082" w14:textId="1A5D9512" w:rsidR="003A1FEB" w:rsidRPr="008840D2" w:rsidRDefault="002844AC">
      <w:pPr>
        <w:pBdr>
          <w:top w:val="nil"/>
          <w:left w:val="nil"/>
          <w:bottom w:val="nil"/>
          <w:right w:val="nil"/>
          <w:between w:val="nil"/>
        </w:pBdr>
        <w:ind w:firstLine="720"/>
        <w:rPr>
          <w:color w:val="000000"/>
          <w:szCs w:val="24"/>
          <w:lang w:val="en-US"/>
        </w:rPr>
      </w:pPr>
      <w:r>
        <w:rPr>
          <w:color w:val="000000"/>
          <w:szCs w:val="24"/>
          <w:lang w:val="en-US"/>
        </w:rPr>
        <w:t>Molecular fingerprints are vector-based digital representations of chemical structures, in which a molecule is encoded as a set of binary features. Such representations are widely used in cheminformatics for structural similarity assessment, compound clustering, and chemical space analysis. In this study, molecular fingerprints were used as 2D structural descriptors of VDR ligands</w:t>
      </w:r>
      <w:r w:rsidR="00B36771">
        <w:rPr>
          <w:color w:val="000000"/>
          <w:szCs w:val="24"/>
          <w:lang w:val="en-US"/>
        </w:rPr>
        <w:t>.</w:t>
      </w:r>
    </w:p>
    <w:p w14:paraId="00000083" w14:textId="77777777" w:rsidR="003A1FEB" w:rsidRPr="008840D2" w:rsidRDefault="002844AC">
      <w:pPr>
        <w:pBdr>
          <w:top w:val="nil"/>
          <w:left w:val="nil"/>
          <w:bottom w:val="nil"/>
          <w:right w:val="nil"/>
          <w:between w:val="nil"/>
        </w:pBdr>
        <w:ind w:firstLine="720"/>
        <w:rPr>
          <w:color w:val="000000"/>
          <w:szCs w:val="24"/>
          <w:lang w:val="en-US"/>
        </w:rPr>
      </w:pPr>
      <w:r>
        <w:rPr>
          <w:color w:val="000000"/>
          <w:szCs w:val="24"/>
          <w:lang w:val="en-US"/>
        </w:rPr>
        <w:t xml:space="preserve">All calculations were performed in Python using the </w:t>
      </w:r>
      <w:proofErr w:type="spellStart"/>
      <w:r>
        <w:rPr>
          <w:color w:val="000000"/>
          <w:szCs w:val="24"/>
          <w:lang w:val="en-US"/>
        </w:rPr>
        <w:t>RDKit</w:t>
      </w:r>
      <w:proofErr w:type="spellEnd"/>
      <w:r>
        <w:rPr>
          <w:color w:val="000000"/>
          <w:szCs w:val="24"/>
          <w:lang w:val="en-US"/>
        </w:rPr>
        <w:t xml:space="preserve"> library based on standardized SMILES representations. For each valid molecule, four types of binary fingerprints of length 2048 bits were generated: ECFP4, ECFP6, </w:t>
      </w:r>
      <w:proofErr w:type="spellStart"/>
      <w:r>
        <w:rPr>
          <w:color w:val="000000"/>
          <w:szCs w:val="24"/>
          <w:lang w:val="en-US"/>
        </w:rPr>
        <w:t>RDKit</w:t>
      </w:r>
      <w:proofErr w:type="spellEnd"/>
      <w:r>
        <w:rPr>
          <w:color w:val="000000"/>
          <w:szCs w:val="24"/>
          <w:lang w:val="en-US"/>
        </w:rPr>
        <w:t xml:space="preserve"> topological fingerprints, and Atom Pair fingerprints.</w:t>
      </w:r>
    </w:p>
    <w:p w14:paraId="00000084" w14:textId="36E7AF3C" w:rsidR="003A1FEB" w:rsidRPr="008840D2" w:rsidRDefault="002844AC">
      <w:pPr>
        <w:pBdr>
          <w:top w:val="nil"/>
          <w:left w:val="nil"/>
          <w:bottom w:val="nil"/>
          <w:right w:val="nil"/>
          <w:between w:val="nil"/>
        </w:pBdr>
        <w:ind w:firstLine="720"/>
        <w:rPr>
          <w:color w:val="000000"/>
          <w:szCs w:val="24"/>
          <w:lang w:val="en-US"/>
        </w:rPr>
      </w:pPr>
      <w:r>
        <w:rPr>
          <w:color w:val="000000"/>
          <w:szCs w:val="24"/>
          <w:lang w:val="en-US"/>
        </w:rPr>
        <w:t xml:space="preserve">Circular fingerprints of the ECFP (Extended Connectivity Fingerprint) type were calculated using the Morgan algorithm with radius of 2 and 3, respectively. These fingerprints encode local atomic environments, with ECFP4 capturing closer structural features and ECFP6 incorporating more distant molecular regions, providing a more detailed representation. </w:t>
      </w:r>
      <w:proofErr w:type="spellStart"/>
      <w:r>
        <w:rPr>
          <w:color w:val="000000"/>
          <w:szCs w:val="24"/>
          <w:lang w:val="en-US"/>
        </w:rPr>
        <w:t>RDKit</w:t>
      </w:r>
      <w:proofErr w:type="spellEnd"/>
      <w:r>
        <w:rPr>
          <w:color w:val="000000"/>
          <w:szCs w:val="24"/>
          <w:lang w:val="en-US"/>
        </w:rPr>
        <w:t xml:space="preserve"> topological fingerprints were generated based on paths in the molecular graph and describe the overall 2D topology of the structure. Atom Pair fingerprints encode pairs of atoms defined by their types and topological distance, capturing the relative arrangement of distant structural elements</w:t>
      </w:r>
      <w:r w:rsidR="00B36771">
        <w:rPr>
          <w:color w:val="000000"/>
          <w:szCs w:val="24"/>
          <w:lang w:val="en-US"/>
        </w:rPr>
        <w:t>.</w:t>
      </w:r>
    </w:p>
    <w:p w14:paraId="00000085" w14:textId="77777777" w:rsidR="003A1FEB" w:rsidRPr="008840D2" w:rsidRDefault="003A1FEB">
      <w:pPr>
        <w:pBdr>
          <w:top w:val="nil"/>
          <w:left w:val="nil"/>
          <w:bottom w:val="nil"/>
          <w:right w:val="nil"/>
          <w:between w:val="nil"/>
        </w:pBdr>
        <w:ind w:firstLine="720"/>
        <w:rPr>
          <w:color w:val="000000"/>
          <w:szCs w:val="24"/>
          <w:lang w:val="en-US"/>
        </w:rPr>
      </w:pPr>
    </w:p>
    <w:p w14:paraId="00000086" w14:textId="77777777" w:rsidR="003A1FEB" w:rsidRPr="008840D2" w:rsidRDefault="002844AC">
      <w:pPr>
        <w:pStyle w:val="Heading2"/>
        <w:rPr>
          <w:lang w:val="en-US"/>
        </w:rPr>
      </w:pPr>
      <w:bookmarkStart w:id="25" w:name="_Toc227014988"/>
      <w:r>
        <w:rPr>
          <w:lang w:val="en-US"/>
        </w:rPr>
        <w:t>3.5. Similarity analysis, structural diversity and clustering of VDR ligands</w:t>
      </w:r>
      <w:bookmarkEnd w:id="25"/>
    </w:p>
    <w:p w14:paraId="00000087" w14:textId="52B56B1D" w:rsidR="003A1FEB" w:rsidRPr="008840D2" w:rsidRDefault="002844AC">
      <w:pPr>
        <w:pStyle w:val="Heading3"/>
        <w:rPr>
          <w:lang w:val="en-US"/>
        </w:rPr>
      </w:pPr>
      <w:bookmarkStart w:id="26" w:name="_Toc227014989"/>
      <w:r>
        <w:rPr>
          <w:lang w:val="en-US"/>
        </w:rPr>
        <w:t>3.</w:t>
      </w:r>
      <w:r w:rsidR="00B36771">
        <w:rPr>
          <w:lang w:val="en-US"/>
        </w:rPr>
        <w:t>5</w:t>
      </w:r>
      <w:r>
        <w:rPr>
          <w:lang w:val="en-US"/>
        </w:rPr>
        <w:t>.1. Similarity analysis</w:t>
      </w:r>
      <w:bookmarkEnd w:id="26"/>
    </w:p>
    <w:p w14:paraId="00000088" w14:textId="77777777" w:rsidR="003A1FEB" w:rsidRPr="008840D2" w:rsidRDefault="002844AC" w:rsidP="00C95FA7">
      <w:pPr>
        <w:pStyle w:val="BodyText"/>
      </w:pPr>
      <w:r>
        <w:t>Pairwise structural similarity between VDR ligands was evaluated using binary molecular fingerprints calculated for each compound. The analysis was performed separately for each fingerprint type to account for differences in structural encoding.</w:t>
      </w:r>
    </w:p>
    <w:p w14:paraId="41FD842B" w14:textId="77777777" w:rsidR="00F1043D" w:rsidRPr="008840D2" w:rsidRDefault="002844AC" w:rsidP="00C95FA7">
      <w:pPr>
        <w:pStyle w:val="BodyText"/>
      </w:pPr>
      <w:r>
        <w:t>Similarity between compounds was calculated using the Tanimoto coefficient:</w:t>
      </w:r>
    </w:p>
    <w:p w14:paraId="0000008A" w14:textId="00C22B93" w:rsidR="003A1FEB" w:rsidRPr="008840D2" w:rsidRDefault="002844AC" w:rsidP="00D023DD">
      <w:pPr>
        <w:pStyle w:val="BodyText"/>
        <w:ind w:left="2880"/>
      </w:pPr>
      <m:oMath>
        <m:r>
          <w:rPr>
            <w:rFonts w:ascii="Cambria Math" w:eastAsia="Cambria Math" w:hAnsi="Cambria Math"/>
          </w:rPr>
          <w:lastRenderedPageBreak/>
          <m:t>T</m:t>
        </m:r>
        <m:r>
          <m:rPr>
            <m:sty m:val="p"/>
          </m:rPr>
          <w:rPr>
            <w:rFonts w:ascii="Cambria Math" w:eastAsia="Cambria Math" w:hAnsi="Cambria Math"/>
          </w:rPr>
          <m:t>=</m:t>
        </m:r>
        <m:f>
          <m:fPr>
            <m:ctrlPr>
              <w:rPr>
                <w:rFonts w:ascii="Cambria Math" w:eastAsia="Cambria Math" w:hAnsi="Cambria Math"/>
              </w:rPr>
            </m:ctrlPr>
          </m:fPr>
          <m:num>
            <m:r>
              <w:rPr>
                <w:rFonts w:ascii="Cambria Math" w:eastAsia="Cambria Math" w:hAnsi="Cambria Math"/>
              </w:rPr>
              <m:t>c</m:t>
            </m:r>
          </m:num>
          <m:den>
            <m:r>
              <w:rPr>
                <w:rFonts w:ascii="Cambria Math" w:eastAsia="Cambria Math" w:hAnsi="Cambria Math"/>
              </w:rPr>
              <m:t>a</m:t>
            </m:r>
            <m:r>
              <m:rPr>
                <m:sty m:val="p"/>
              </m:rPr>
              <w:rPr>
                <w:rFonts w:ascii="Cambria Math" w:eastAsia="Cambria Math" w:hAnsi="Cambria Math"/>
              </w:rPr>
              <m:t>+</m:t>
            </m:r>
            <m:r>
              <w:rPr>
                <w:rFonts w:ascii="Cambria Math" w:eastAsia="Cambria Math" w:hAnsi="Cambria Math"/>
              </w:rPr>
              <m:t>b</m:t>
            </m:r>
            <m:r>
              <m:rPr>
                <m:sty m:val="p"/>
              </m:rPr>
              <w:rPr>
                <w:rFonts w:ascii="Cambria Math" w:eastAsia="Cambria Math" w:hAnsi="Cambria Math"/>
              </w:rPr>
              <m:t>-</m:t>
            </m:r>
            <m:r>
              <w:rPr>
                <w:rFonts w:ascii="Cambria Math" w:eastAsia="Cambria Math" w:hAnsi="Cambria Math"/>
              </w:rPr>
              <m:t>c</m:t>
            </m:r>
          </m:den>
        </m:f>
      </m:oMath>
      <w:r>
        <w:t xml:space="preserve"> </w:t>
      </w:r>
      <w:r>
        <w:tab/>
      </w:r>
      <w:r>
        <w:tab/>
      </w:r>
      <w:r>
        <w:tab/>
      </w:r>
      <w:r>
        <w:tab/>
        <w:t>(3)</w:t>
      </w:r>
    </w:p>
    <w:p w14:paraId="0000008B" w14:textId="77777777" w:rsidR="003A1FEB" w:rsidRPr="008840D2" w:rsidRDefault="002844AC" w:rsidP="00C95FA7">
      <w:pPr>
        <w:pStyle w:val="BodyText"/>
      </w:pPr>
      <w:r>
        <w:t xml:space="preserve">where </w:t>
      </w:r>
      <w:r>
        <w:rPr>
          <w:i/>
          <w:iCs/>
        </w:rPr>
        <w:t xml:space="preserve">a </w:t>
      </w:r>
      <w:r>
        <w:t xml:space="preserve">and </w:t>
      </w:r>
      <w:r>
        <w:rPr>
          <w:i/>
          <w:iCs/>
        </w:rPr>
        <w:t xml:space="preserve">b </w:t>
      </w:r>
      <w:r>
        <w:t xml:space="preserve">are the numbers of active bits in the fingerprints of two molecules, and </w:t>
      </w:r>
      <w:r>
        <w:rPr>
          <w:i/>
          <w:iCs/>
        </w:rPr>
        <w:t>c</w:t>
      </w:r>
      <w:r>
        <w:t xml:space="preserve"> is the number of shared active bits. The coefficient ranges from 0 (no overlap) to 1 (identical fingerprints).</w:t>
      </w:r>
    </w:p>
    <w:p w14:paraId="0000008C" w14:textId="77777777" w:rsidR="003A1FEB" w:rsidRPr="008840D2" w:rsidRDefault="002844AC" w:rsidP="00C95FA7">
      <w:pPr>
        <w:pStyle w:val="BodyText"/>
      </w:pPr>
      <w:r>
        <w:t>For each fingerprint type, full pairwise similarity matrices (</w:t>
      </w:r>
      <m:oMath>
        <m:r>
          <w:rPr>
            <w:rFonts w:ascii="Cambria Math" w:eastAsia="Cambria Math" w:hAnsi="Cambria Math"/>
          </w:rPr>
          <m:t>T</m:t>
        </m:r>
      </m:oMath>
      <w:r>
        <w:t>) and corresponding distance matrices were constructed, where distance was defined as:</w:t>
      </w:r>
    </w:p>
    <w:p w14:paraId="0000008D" w14:textId="774667D5" w:rsidR="003A1FEB" w:rsidRPr="008840D2" w:rsidRDefault="002844AC" w:rsidP="00D023DD">
      <w:pPr>
        <w:pStyle w:val="BodyText"/>
        <w:ind w:left="2880"/>
      </w:pPr>
      <m:oMath>
        <m:r>
          <w:rPr>
            <w:rFonts w:ascii="Cambria Math" w:eastAsia="Cambria Math" w:hAnsi="Cambria Math"/>
          </w:rPr>
          <m:t>D=1-T</m:t>
        </m:r>
      </m:oMath>
      <w:r>
        <w:tab/>
      </w:r>
      <w:r>
        <w:tab/>
      </w:r>
      <w:r>
        <w:tab/>
      </w:r>
      <w:r>
        <w:tab/>
        <w:t>(4)</w:t>
      </w:r>
    </w:p>
    <w:p w14:paraId="353B3419" w14:textId="2C4D3ECC" w:rsidR="000549C0" w:rsidRPr="008840D2" w:rsidRDefault="000549C0" w:rsidP="00C95FA7">
      <w:pPr>
        <w:pStyle w:val="BodyText"/>
      </w:pPr>
      <w:r>
        <w:t xml:space="preserve">The distribution of pairwise Tanimoto similarities was summarized using mean, </w:t>
      </w:r>
      <w:proofErr w:type="gramStart"/>
      <w:r>
        <w:t>median</w:t>
      </w:r>
      <w:proofErr w:type="gramEnd"/>
      <w:r>
        <w:t>, standard deviation, and minimum/maximum values. In addition, the fractions of similar (T ≥ 0.70), highly similar (T ≥ 0.85), and dissimilar (T ≤ 0.30) compound pairs were calculated to assess structural diversity. These metrics were computed separately for each fingerprint type.</w:t>
      </w:r>
    </w:p>
    <w:p w14:paraId="2A6ED76D" w14:textId="77777777" w:rsidR="00A61CF9" w:rsidRPr="008840D2" w:rsidRDefault="00A61CF9" w:rsidP="000549C0">
      <w:pPr>
        <w:pBdr>
          <w:top w:val="nil"/>
          <w:left w:val="nil"/>
          <w:bottom w:val="nil"/>
          <w:right w:val="nil"/>
          <w:between w:val="nil"/>
        </w:pBdr>
        <w:ind w:left="165" w:right="445" w:firstLine="707"/>
        <w:rPr>
          <w:color w:val="000000"/>
          <w:szCs w:val="24"/>
          <w:lang w:val="en-US"/>
        </w:rPr>
      </w:pPr>
    </w:p>
    <w:p w14:paraId="4FD246D6" w14:textId="3278AA15" w:rsidR="000549C0" w:rsidRPr="008840D2" w:rsidRDefault="002844AC" w:rsidP="00F1043D">
      <w:pPr>
        <w:pStyle w:val="Heading3"/>
        <w:rPr>
          <w:lang w:val="en-US"/>
        </w:rPr>
      </w:pPr>
      <w:bookmarkStart w:id="27" w:name="_Toc227014990"/>
      <w:r>
        <w:rPr>
          <w:lang w:val="en-US"/>
        </w:rPr>
        <w:t>3.</w:t>
      </w:r>
      <w:r w:rsidR="00B36771">
        <w:rPr>
          <w:lang w:val="en-US"/>
        </w:rPr>
        <w:t>5</w:t>
      </w:r>
      <w:r>
        <w:rPr>
          <w:lang w:val="en-US"/>
        </w:rPr>
        <w:t>.2 Clustering analysis</w:t>
      </w:r>
      <w:bookmarkEnd w:id="27"/>
    </w:p>
    <w:p w14:paraId="31555101" w14:textId="77777777" w:rsidR="00F1043D" w:rsidRPr="008840D2" w:rsidRDefault="002844AC" w:rsidP="00C95FA7">
      <w:pPr>
        <w:pStyle w:val="BodyText"/>
      </w:pPr>
      <w:r>
        <w:t xml:space="preserve">Compound grouping was carried out using the Butina clustering algorithm implemented in </w:t>
      </w:r>
      <w:proofErr w:type="spellStart"/>
      <w:proofErr w:type="gramStart"/>
      <w:r>
        <w:rPr>
          <w:i/>
          <w:iCs/>
        </w:rPr>
        <w:t>rdkit.ML.Cluster.Butina</w:t>
      </w:r>
      <w:proofErr w:type="spellEnd"/>
      <w:proofErr w:type="gramEnd"/>
      <w:r>
        <w:rPr>
          <w:i/>
          <w:iCs/>
        </w:rPr>
        <w:t>.</w:t>
      </w:r>
      <w:r>
        <w:t xml:space="preserve"> For each clustering configuration, the total number of clusters, largest cluster size, number and fraction of singletons, and mean and median cluster size were calculated. Cluster composition was further evaluated by assigning the dominant structural category to each cluster and calculating cluster purity:</w:t>
      </w:r>
    </w:p>
    <w:p w14:paraId="00000091" w14:textId="24039EC5" w:rsidR="003A1FEB" w:rsidRPr="008840D2" w:rsidRDefault="002844AC" w:rsidP="00D023DD">
      <w:pPr>
        <w:pStyle w:val="BodyText"/>
        <w:ind w:left="2160"/>
      </w:pPr>
      <m:oMath>
        <m:r>
          <w:rPr>
            <w:rFonts w:ascii="Cambria Math" w:eastAsia="Cambria Math" w:hAnsi="Cambria Math"/>
          </w:rPr>
          <m:t>Purity</m:t>
        </m:r>
        <m:r>
          <m:rPr>
            <m:sty m:val="p"/>
          </m:rPr>
          <w:rPr>
            <w:rFonts w:ascii="Cambria Math" w:eastAsia="Cambria Math" w:hAnsi="Cambria Math"/>
          </w:rPr>
          <m:t>=</m:t>
        </m:r>
        <m:f>
          <m:fPr>
            <m:ctrlPr>
              <w:rPr>
                <w:rFonts w:ascii="Cambria Math" w:eastAsia="Cambria Math" w:hAnsi="Cambria Math"/>
              </w:rPr>
            </m:ctrlPr>
          </m:fPr>
          <m:num>
            <m:r>
              <m:rPr>
                <m:sty m:val="p"/>
              </m:rPr>
              <w:rPr>
                <w:rFonts w:ascii="Cambria Math" w:eastAsia="Cambria Math" w:hAnsi="Cambria Math"/>
              </w:rPr>
              <m:t>1</m:t>
            </m:r>
          </m:num>
          <m:den>
            <m:r>
              <w:rPr>
                <w:rFonts w:ascii="Cambria Math" w:eastAsia="Cambria Math" w:hAnsi="Cambria Math"/>
              </w:rPr>
              <m:t>N</m:t>
            </m:r>
          </m:den>
        </m:f>
        <m:nary>
          <m:naryPr>
            <m:chr m:val="∑"/>
            <m:ctrlPr>
              <w:rPr>
                <w:rFonts w:ascii="Cambria Math" w:eastAsia="Cambria Math" w:hAnsi="Cambria Math"/>
              </w:rPr>
            </m:ctrlPr>
          </m:naryPr>
          <m:sub>
            <m:r>
              <w:rPr>
                <w:rFonts w:ascii="Cambria Math" w:eastAsia="Cambria Math" w:hAnsi="Cambria Math"/>
              </w:rPr>
              <m:t>k</m:t>
            </m:r>
            <m:r>
              <m:rPr>
                <m:sty m:val="p"/>
              </m:rPr>
              <w:rPr>
                <w:rFonts w:ascii="Cambria Math" w:eastAsia="Cambria Math" w:hAnsi="Cambria Math"/>
              </w:rPr>
              <m:t>=1</m:t>
            </m:r>
          </m:sub>
          <m:sup>
            <m:r>
              <w:rPr>
                <w:rFonts w:ascii="Cambria Math" w:eastAsia="Cambria Math" w:hAnsi="Cambria Math"/>
              </w:rPr>
              <m:t>K</m:t>
            </m:r>
          </m:sup>
          <m:e/>
        </m:nary>
        <m:sSub>
          <m:sSubPr>
            <m:ctrlPr>
              <w:rPr>
                <w:rFonts w:ascii="Cambria Math" w:eastAsia="Cambria Math" w:hAnsi="Cambria Math"/>
              </w:rPr>
            </m:ctrlPr>
          </m:sSubPr>
          <m:e>
            <m:r>
              <w:rPr>
                <w:rFonts w:ascii="Cambria Math" w:eastAsia="Cambria Math" w:hAnsi="Cambria Math"/>
              </w:rPr>
              <m:t>max</m:t>
            </m:r>
            <m:r>
              <m:rPr>
                <m:sty m:val="p"/>
              </m:rPr>
              <w:rPr>
                <w:rFonts w:ascii="Cambria Math" w:eastAsia="Cambria Math" w:hAnsi="Cambria Math"/>
              </w:rPr>
              <m:t>⁡</m:t>
            </m:r>
          </m:e>
          <m:sub>
            <m:r>
              <w:rPr>
                <w:rFonts w:ascii="Cambria Math" w:eastAsia="Cambria Math" w:hAnsi="Cambria Math"/>
              </w:rPr>
              <m:t>j</m:t>
            </m:r>
          </m:sub>
        </m:sSub>
        <m:r>
          <m:rPr>
            <m:sty m:val="p"/>
          </m:rPr>
          <w:rPr>
            <w:rFonts w:ascii="Cambria Math" w:eastAsia="Cambria Math" w:hAnsi="Cambria Math"/>
          </w:rPr>
          <m:t>(</m:t>
        </m:r>
        <m:sSub>
          <m:sSubPr>
            <m:ctrlPr>
              <w:rPr>
                <w:rFonts w:ascii="Cambria Math" w:eastAsia="Cambria Math" w:hAnsi="Cambria Math"/>
              </w:rPr>
            </m:ctrlPr>
          </m:sSubPr>
          <m:e>
            <m:r>
              <w:rPr>
                <w:rFonts w:ascii="Cambria Math" w:eastAsia="Cambria Math" w:hAnsi="Cambria Math"/>
              </w:rPr>
              <m:t>n</m:t>
            </m:r>
          </m:e>
          <m:sub>
            <m:r>
              <w:rPr>
                <w:rFonts w:ascii="Cambria Math" w:eastAsia="Cambria Math" w:hAnsi="Cambria Math"/>
              </w:rPr>
              <m:t>kj</m:t>
            </m:r>
          </m:sub>
        </m:sSub>
        <m:r>
          <m:rPr>
            <m:sty m:val="p"/>
          </m:rPr>
          <w:rPr>
            <w:rFonts w:ascii="Cambria Math" w:eastAsia="Cambria Math" w:hAnsi="Cambria Math"/>
          </w:rPr>
          <m:t>)</m:t>
        </m:r>
      </m:oMath>
      <w:r>
        <w:t xml:space="preserve"> </w:t>
      </w:r>
      <w:r>
        <w:tab/>
      </w:r>
      <w:r>
        <w:tab/>
        <w:t xml:space="preserve"> (5)</w:t>
      </w:r>
    </w:p>
    <w:p w14:paraId="00000092" w14:textId="77777777" w:rsidR="003A1FEB" w:rsidRPr="008840D2" w:rsidRDefault="002844AC" w:rsidP="00C95FA7">
      <w:pPr>
        <w:pStyle w:val="BodyText"/>
      </w:pPr>
      <w:r>
        <w:t xml:space="preserve">where </w:t>
      </w:r>
      <w:r>
        <w:rPr>
          <w:i/>
          <w:iCs/>
        </w:rPr>
        <w:t xml:space="preserve">N </w:t>
      </w:r>
      <w:r>
        <w:t xml:space="preserve">is the total number of compounds, </w:t>
      </w:r>
      <w:r>
        <w:rPr>
          <w:i/>
          <w:iCs/>
        </w:rPr>
        <w:t xml:space="preserve">K </w:t>
      </w:r>
      <w:r>
        <w:t xml:space="preserve">is the number of clusters, and </w:t>
      </w:r>
      <w:proofErr w:type="spellStart"/>
      <w:r>
        <w:rPr>
          <w:i/>
          <w:iCs/>
        </w:rPr>
        <w:t>n</w:t>
      </w:r>
      <w:r>
        <w:rPr>
          <w:i/>
          <w:iCs/>
          <w:vertAlign w:val="subscript"/>
        </w:rPr>
        <w:t>kj</w:t>
      </w:r>
      <w:proofErr w:type="spellEnd"/>
      <w:r>
        <w:t xml:space="preserve"> is the number of compounds of category </w:t>
      </w:r>
      <w:r>
        <w:rPr>
          <w:i/>
          <w:iCs/>
        </w:rPr>
        <w:t xml:space="preserve">j </w:t>
      </w:r>
      <w:r>
        <w:t xml:space="preserve">in cluster </w:t>
      </w:r>
      <w:r>
        <w:rPr>
          <w:i/>
          <w:iCs/>
        </w:rPr>
        <w:t>k</w:t>
      </w:r>
      <w:r>
        <w:t>. Higher purity values indicate greater cluster homogeneity with respect to structural categories.</w:t>
      </w:r>
    </w:p>
    <w:p w14:paraId="081BE335" w14:textId="77777777" w:rsidR="00F1043D" w:rsidRPr="008840D2" w:rsidRDefault="002844AC" w:rsidP="00C95FA7">
      <w:pPr>
        <w:pStyle w:val="BodyText"/>
      </w:pPr>
      <w:r>
        <w:t>Agreement between clustering results and predefined compound categories was assessed using the Adjusted Rand Index (ARI) and Normalized Mutual Information (NMI). In addition, the silhouette score was calculated from the precomputed Tanimoto distance matrix as an internal measure of cluster compactness and separation:</w:t>
      </w:r>
    </w:p>
    <w:p w14:paraId="00000094" w14:textId="23ED7312" w:rsidR="003A1FEB" w:rsidRPr="008840D2" w:rsidRDefault="002844AC" w:rsidP="00D023DD">
      <w:pPr>
        <w:pStyle w:val="BodyText"/>
        <w:ind w:left="2160"/>
      </w:pPr>
      <m:oMath>
        <m:r>
          <w:rPr>
            <w:rFonts w:ascii="Cambria Math" w:eastAsia="Cambria Math" w:hAnsi="Cambria Math"/>
          </w:rPr>
          <m:t>s</m:t>
        </m:r>
        <m:r>
          <m:rPr>
            <m:sty m:val="p"/>
          </m:rPr>
          <w:rPr>
            <w:rFonts w:ascii="Cambria Math" w:eastAsia="Cambria Math" w:hAnsi="Cambria Math"/>
          </w:rPr>
          <m:t>(</m:t>
        </m:r>
        <m:r>
          <w:rPr>
            <w:rFonts w:ascii="Cambria Math" w:eastAsia="Cambria Math" w:hAnsi="Cambria Math"/>
          </w:rPr>
          <m:t>i</m:t>
        </m:r>
        <m:r>
          <m:rPr>
            <m:sty m:val="p"/>
          </m:rPr>
          <w:rPr>
            <w:rFonts w:ascii="Cambria Math" w:eastAsia="Cambria Math" w:hAnsi="Cambria Math"/>
          </w:rPr>
          <m:t>)=</m:t>
        </m:r>
        <m:f>
          <m:fPr>
            <m:ctrlPr>
              <w:rPr>
                <w:rFonts w:ascii="Cambria Math" w:eastAsia="Cambria Math" w:hAnsi="Cambria Math"/>
              </w:rPr>
            </m:ctrlPr>
          </m:fPr>
          <m:num>
            <m:r>
              <w:rPr>
                <w:rFonts w:ascii="Cambria Math" w:eastAsia="Cambria Math" w:hAnsi="Cambria Math"/>
              </w:rPr>
              <m:t>b</m:t>
            </m:r>
            <m:r>
              <m:rPr>
                <m:sty m:val="p"/>
              </m:rPr>
              <w:rPr>
                <w:rFonts w:ascii="Cambria Math" w:eastAsia="Cambria Math" w:hAnsi="Cambria Math"/>
              </w:rPr>
              <m:t>(</m:t>
            </m:r>
            <m:r>
              <w:rPr>
                <w:rFonts w:ascii="Cambria Math" w:eastAsia="Cambria Math" w:hAnsi="Cambria Math"/>
              </w:rPr>
              <m:t>i</m:t>
            </m:r>
            <m:r>
              <m:rPr>
                <m:sty m:val="p"/>
              </m:rPr>
              <w:rPr>
                <w:rFonts w:ascii="Cambria Math" w:eastAsia="Cambria Math" w:hAnsi="Cambria Math"/>
              </w:rPr>
              <m:t>)-</m:t>
            </m:r>
            <m:r>
              <w:rPr>
                <w:rFonts w:ascii="Cambria Math" w:eastAsia="Cambria Math" w:hAnsi="Cambria Math"/>
              </w:rPr>
              <m:t>a</m:t>
            </m:r>
            <m:r>
              <m:rPr>
                <m:sty m:val="p"/>
              </m:rPr>
              <w:rPr>
                <w:rFonts w:ascii="Cambria Math" w:eastAsia="Cambria Math" w:hAnsi="Cambria Math"/>
              </w:rPr>
              <m:t>(</m:t>
            </m:r>
            <m:r>
              <w:rPr>
                <w:rFonts w:ascii="Cambria Math" w:eastAsia="Cambria Math" w:hAnsi="Cambria Math"/>
              </w:rPr>
              <m:t>i</m:t>
            </m:r>
            <m:r>
              <m:rPr>
                <m:sty m:val="p"/>
              </m:rPr>
              <w:rPr>
                <w:rFonts w:ascii="Cambria Math" w:eastAsia="Cambria Math" w:hAnsi="Cambria Math"/>
              </w:rPr>
              <m:t>)</m:t>
            </m:r>
          </m:num>
          <m:den>
            <m:r>
              <w:rPr>
                <w:rFonts w:ascii="Cambria Math" w:eastAsia="Cambria Math" w:hAnsi="Cambria Math"/>
              </w:rPr>
              <m:t>max</m:t>
            </m:r>
            <m:r>
              <m:rPr>
                <m:sty m:val="p"/>
              </m:rPr>
              <w:rPr>
                <w:rFonts w:ascii="Cambria Math" w:eastAsia="Cambria Math" w:hAnsi="Cambria Math"/>
              </w:rPr>
              <m:t>⁡(</m:t>
            </m:r>
            <m:r>
              <w:rPr>
                <w:rFonts w:ascii="Cambria Math" w:eastAsia="Cambria Math" w:hAnsi="Cambria Math"/>
              </w:rPr>
              <m:t>a</m:t>
            </m:r>
            <m:r>
              <m:rPr>
                <m:sty m:val="p"/>
              </m:rPr>
              <w:rPr>
                <w:rFonts w:ascii="Cambria Math" w:eastAsia="Cambria Math" w:hAnsi="Cambria Math"/>
              </w:rPr>
              <m:t>(</m:t>
            </m:r>
            <m:r>
              <w:rPr>
                <w:rFonts w:ascii="Cambria Math" w:eastAsia="Cambria Math" w:hAnsi="Cambria Math"/>
              </w:rPr>
              <m:t>i</m:t>
            </m:r>
            <m:r>
              <m:rPr>
                <m:sty m:val="p"/>
              </m:rPr>
              <w:rPr>
                <w:rFonts w:ascii="Cambria Math" w:eastAsia="Cambria Math" w:hAnsi="Cambria Math"/>
              </w:rPr>
              <m:t>),</m:t>
            </m:r>
            <m:r>
              <w:rPr>
                <w:rFonts w:ascii="Cambria Math" w:eastAsia="Cambria Math" w:hAnsi="Cambria Math"/>
              </w:rPr>
              <m:t>b</m:t>
            </m:r>
            <m:r>
              <m:rPr>
                <m:sty m:val="p"/>
              </m:rPr>
              <w:rPr>
                <w:rFonts w:ascii="Cambria Math" w:eastAsia="Cambria Math" w:hAnsi="Cambria Math"/>
              </w:rPr>
              <m:t>(</m:t>
            </m:r>
            <m:r>
              <w:rPr>
                <w:rFonts w:ascii="Cambria Math" w:eastAsia="Cambria Math" w:hAnsi="Cambria Math"/>
              </w:rPr>
              <m:t>i</m:t>
            </m:r>
            <m:r>
              <m:rPr>
                <m:sty m:val="p"/>
              </m:rPr>
              <w:rPr>
                <w:rFonts w:ascii="Cambria Math" w:eastAsia="Cambria Math" w:hAnsi="Cambria Math"/>
              </w:rPr>
              <m:t>))</m:t>
            </m:r>
          </m:den>
        </m:f>
      </m:oMath>
      <w:r>
        <w:t xml:space="preserve"> </w:t>
      </w:r>
      <w:r>
        <w:tab/>
      </w:r>
      <w:r w:rsidR="00D023DD">
        <w:tab/>
      </w:r>
      <w:r>
        <w:tab/>
      </w:r>
      <w:r>
        <w:tab/>
        <w:t>(6)</w:t>
      </w:r>
    </w:p>
    <w:p w14:paraId="00000095" w14:textId="77777777" w:rsidR="003A1FEB" w:rsidRPr="008840D2" w:rsidRDefault="002844AC" w:rsidP="00C95FA7">
      <w:pPr>
        <w:pStyle w:val="BodyText"/>
      </w:pPr>
      <w:r>
        <w:t xml:space="preserve">where </w:t>
      </w:r>
      <w:r>
        <w:rPr>
          <w:i/>
          <w:iCs/>
        </w:rPr>
        <w:t>a(</w:t>
      </w:r>
      <w:proofErr w:type="spellStart"/>
      <w:r>
        <w:rPr>
          <w:i/>
          <w:iCs/>
        </w:rPr>
        <w:t>i</w:t>
      </w:r>
      <w:proofErr w:type="spellEnd"/>
      <w:r>
        <w:rPr>
          <w:i/>
          <w:iCs/>
        </w:rPr>
        <w:t>)</w:t>
      </w:r>
      <w:r>
        <w:t xml:space="preserve">is the mean distance from compound </w:t>
      </w:r>
      <m:oMath>
        <m:r>
          <w:rPr>
            <w:rFonts w:ascii="Cambria Math" w:eastAsia="Cambria Math" w:hAnsi="Cambria Math"/>
          </w:rPr>
          <m:t>i</m:t>
        </m:r>
      </m:oMath>
      <w:r>
        <w:t xml:space="preserve">to other members of the same cluster, and </w:t>
      </w:r>
      <w:r>
        <w:rPr>
          <w:i/>
          <w:iCs/>
        </w:rPr>
        <w:t>b(</w:t>
      </w:r>
      <w:proofErr w:type="spellStart"/>
      <w:r>
        <w:rPr>
          <w:i/>
          <w:iCs/>
        </w:rPr>
        <w:t>i</w:t>
      </w:r>
      <w:proofErr w:type="spellEnd"/>
      <w:r>
        <w:rPr>
          <w:i/>
          <w:iCs/>
        </w:rPr>
        <w:t>)</w:t>
      </w:r>
      <w:r>
        <w:t xml:space="preserve"> is the minimum mean distance to the nearest neighboring cluster. Silhouette analysis was performed only when the number of clusters was greater than 1 </w:t>
      </w:r>
      <w:r>
        <w:lastRenderedPageBreak/>
        <w:t>and smaller than the total number of compounds.</w:t>
      </w:r>
    </w:p>
    <w:p w14:paraId="00000096" w14:textId="77777777" w:rsidR="003A1FEB" w:rsidRPr="008840D2" w:rsidRDefault="002844AC" w:rsidP="00C95FA7">
      <w:pPr>
        <w:pStyle w:val="BodyText"/>
      </w:pPr>
      <w:r>
        <w:t>The clustering results were also used to generate cluster composition tables, cluster size distributions, and chemical space visualizations colored by cluster labels in t-SNE and UMAP projections.</w:t>
      </w:r>
    </w:p>
    <w:p w14:paraId="00000097" w14:textId="77777777" w:rsidR="003A1FEB" w:rsidRPr="008840D2" w:rsidRDefault="003A1FEB">
      <w:pPr>
        <w:pBdr>
          <w:top w:val="nil"/>
          <w:left w:val="nil"/>
          <w:bottom w:val="nil"/>
          <w:right w:val="nil"/>
          <w:between w:val="nil"/>
        </w:pBdr>
        <w:ind w:left="165" w:right="445" w:firstLine="707"/>
        <w:rPr>
          <w:color w:val="000000"/>
          <w:szCs w:val="24"/>
          <w:lang w:val="en-US"/>
        </w:rPr>
      </w:pPr>
    </w:p>
    <w:p w14:paraId="00000098" w14:textId="77777777" w:rsidR="003A1FEB" w:rsidRPr="008840D2" w:rsidRDefault="002844AC">
      <w:pPr>
        <w:pStyle w:val="Heading2"/>
        <w:rPr>
          <w:lang w:val="en-US"/>
        </w:rPr>
      </w:pPr>
      <w:bookmarkStart w:id="28" w:name="_Toc227014991"/>
      <w:r>
        <w:rPr>
          <w:lang w:val="en-US"/>
        </w:rPr>
        <w:t>3.6 Physicochemical property analysis across structural categories</w:t>
      </w:r>
      <w:bookmarkEnd w:id="28"/>
    </w:p>
    <w:p w14:paraId="00000099" w14:textId="77777777" w:rsidR="003A1FEB" w:rsidRPr="008840D2" w:rsidRDefault="002844AC" w:rsidP="00C95FA7">
      <w:pPr>
        <w:pStyle w:val="BodyText"/>
      </w:pPr>
      <w:r>
        <w:t>To assess the relationship between structural classes, clustering results, and physicochemical properties, distribution analysis of key molecular descriptors was performed across predefined compound categories (metabolites, analogs, hybrids, and non-</w:t>
      </w:r>
      <w:proofErr w:type="spellStart"/>
      <w:r>
        <w:t>secosteroidal</w:t>
      </w:r>
      <w:proofErr w:type="spellEnd"/>
      <w:r>
        <w:t xml:space="preserve"> ligands).</w:t>
      </w:r>
    </w:p>
    <w:p w14:paraId="0000009A" w14:textId="22B83F4E" w:rsidR="003A1FEB" w:rsidRPr="008840D2" w:rsidRDefault="002844AC" w:rsidP="00C95FA7">
      <w:pPr>
        <w:pStyle w:val="BodyText"/>
      </w:pPr>
      <w:r>
        <w:t xml:space="preserve">For each descriptor (MW, </w:t>
      </w:r>
      <w:proofErr w:type="spellStart"/>
      <w:r>
        <w:t>logP</w:t>
      </w:r>
      <w:proofErr w:type="spellEnd"/>
      <w:r>
        <w:t xml:space="preserve">, TPSA, HBA, HBD, </w:t>
      </w:r>
      <w:proofErr w:type="spellStart"/>
      <w:r>
        <w:t>RotB</w:t>
      </w:r>
      <w:proofErr w:type="spellEnd"/>
      <w:r>
        <w:t>, number of rings, number of heavy atoms, and number of stereocenters), distributions were visualized using KDE. KDE provides a non-parametric estimate of the probability density function and allows smooth comparison of descriptor distributions between categories without assuming a specific underlying distribution. KDE curves were computed using Gaussian kernels and normalized to ensure comparability across groups.</w:t>
      </w:r>
    </w:p>
    <w:p w14:paraId="0000009B" w14:textId="77777777" w:rsidR="003A1FEB" w:rsidRPr="008840D2" w:rsidRDefault="002844AC" w:rsidP="00C95FA7">
      <w:pPr>
        <w:pStyle w:val="BodyText"/>
      </w:pPr>
      <w:r>
        <w:t>To complement KDE visualization, boxplots were generated to summarize central tendencies (median) and dispersion (interquartile range), as well as to identify outliers within each category. This combined approach enabled both qualitative and semi-quantitative comparison of descriptor distributions.</w:t>
      </w:r>
    </w:p>
    <w:p w14:paraId="0000009C" w14:textId="77777777" w:rsidR="003A1FEB" w:rsidRPr="008840D2" w:rsidRDefault="002844AC" w:rsidP="00C95FA7">
      <w:pPr>
        <w:pStyle w:val="BodyText"/>
      </w:pPr>
      <w:r>
        <w:t>The association between structural classes and clustering results was further evaluated by comparing descriptor distributions within clusters and across categories, allowing assessment of whether structurally defined clusters correspond to distinct physicochemical profiles.</w:t>
      </w:r>
    </w:p>
    <w:p w14:paraId="000000A0" w14:textId="77777777" w:rsidR="003A1FEB" w:rsidRPr="008840D2" w:rsidRDefault="003A1FEB" w:rsidP="0071186E">
      <w:pPr>
        <w:pBdr>
          <w:top w:val="nil"/>
          <w:left w:val="nil"/>
          <w:bottom w:val="nil"/>
          <w:right w:val="nil"/>
          <w:between w:val="nil"/>
        </w:pBdr>
        <w:ind w:right="445"/>
        <w:rPr>
          <w:color w:val="000000"/>
          <w:szCs w:val="24"/>
          <w:lang w:val="en-US"/>
        </w:rPr>
        <w:sectPr w:rsidR="003A1FEB" w:rsidRPr="008840D2" w:rsidSect="0007339A">
          <w:footerReference w:type="default" r:id="rId14"/>
          <w:pgSz w:w="11910" w:h="16840"/>
          <w:pgMar w:top="1701" w:right="1701" w:bottom="1701" w:left="1701" w:header="0" w:footer="1097" w:gutter="0"/>
          <w:pgNumType w:start="1"/>
          <w:cols w:space="720"/>
          <w:docGrid w:linePitch="326"/>
        </w:sectPr>
      </w:pPr>
    </w:p>
    <w:p w14:paraId="000000A2" w14:textId="0AF3C82C" w:rsidR="003A1FEB" w:rsidRPr="008840D2" w:rsidRDefault="002844AC" w:rsidP="009D3B08">
      <w:pPr>
        <w:pStyle w:val="Heading1"/>
        <w:numPr>
          <w:ilvl w:val="0"/>
          <w:numId w:val="1"/>
        </w:numPr>
        <w:tabs>
          <w:tab w:val="left" w:pos="284"/>
        </w:tabs>
        <w:spacing w:line="240" w:lineRule="auto"/>
        <w:ind w:left="284" w:hanging="279"/>
        <w:rPr>
          <w:lang w:val="en-US"/>
        </w:rPr>
      </w:pPr>
      <w:bookmarkStart w:id="29" w:name="_Toc227014992"/>
      <w:r>
        <w:rPr>
          <w:lang w:val="en-US"/>
        </w:rPr>
        <w:lastRenderedPageBreak/>
        <w:t>RESULTS</w:t>
      </w:r>
      <w:bookmarkEnd w:id="29"/>
    </w:p>
    <w:p w14:paraId="0AEBE5B8" w14:textId="77777777" w:rsidR="007E0216" w:rsidRPr="008840D2" w:rsidRDefault="007E0216" w:rsidP="007E0216">
      <w:pPr>
        <w:rPr>
          <w:lang w:val="en-US"/>
        </w:rPr>
      </w:pPr>
    </w:p>
    <w:p w14:paraId="000000A3" w14:textId="77777777" w:rsidR="003A1FEB" w:rsidRPr="008840D2" w:rsidRDefault="002844AC" w:rsidP="007E0216">
      <w:pPr>
        <w:pStyle w:val="Heading2"/>
        <w:rPr>
          <w:lang w:val="en-US"/>
        </w:rPr>
      </w:pPr>
      <w:bookmarkStart w:id="30" w:name="_Toc227014993"/>
      <w:r>
        <w:rPr>
          <w:lang w:val="en-US"/>
        </w:rPr>
        <w:t>4.1. Curation and general characterization of the VDR ligand dataset</w:t>
      </w:r>
      <w:bookmarkEnd w:id="30"/>
    </w:p>
    <w:p w14:paraId="000000A4" w14:textId="7978902E" w:rsidR="003A1FEB" w:rsidRPr="008840D2" w:rsidRDefault="002844AC" w:rsidP="00C95FA7">
      <w:pPr>
        <w:pStyle w:val="BodyText"/>
      </w:pPr>
      <w:r>
        <w:t xml:space="preserve">After curation and standardization, the final dataset of vitamin D receptor ligands included 962 compounds. A unified set of variables was formed for each compound, including structural identifiers, ligand category, </w:t>
      </w:r>
      <w:proofErr w:type="spellStart"/>
      <w:r>
        <w:t>physico</w:t>
      </w:r>
      <w:proofErr w:type="spellEnd"/>
      <w:r>
        <w:t>-chemical descriptors, drug-likeness criteria, and natural product-likeness parameters (Table 1).</w:t>
      </w:r>
    </w:p>
    <w:p w14:paraId="4A0E55A8" w14:textId="77777777" w:rsidR="004815E1" w:rsidRPr="008840D2" w:rsidRDefault="002844AC" w:rsidP="00C95FA7">
      <w:pPr>
        <w:pStyle w:val="BodyText"/>
      </w:pPr>
      <w:r>
        <w:t xml:space="preserve">As shown in Table 1, the dataset structure included standard forms of molecular representation (SMILES, InChI, </w:t>
      </w:r>
      <w:proofErr w:type="spellStart"/>
      <w:r>
        <w:t>InChIKey</w:t>
      </w:r>
      <w:proofErr w:type="spellEnd"/>
      <w:r>
        <w:t xml:space="preserve">), the categorical affiliation of the compound, as well as the main molecular characteristics: molecular weight, number of heavy atoms, </w:t>
      </w:r>
      <w:proofErr w:type="spellStart"/>
      <w:r>
        <w:t>logP</w:t>
      </w:r>
      <w:proofErr w:type="spellEnd"/>
      <w:r>
        <w:t>, TPSA, HBD, HBA, number of rotatable bonds, rings and stereocenters. Additionally, binary variables were included in the dataset, reflecting compliance with Lipinski's rule and Veber criteria, as well as natural product–likeness and confidence indicators.</w:t>
      </w:r>
    </w:p>
    <w:p w14:paraId="000000A6" w14:textId="6D8608D9" w:rsidR="003A1FEB" w:rsidRPr="008840D2" w:rsidRDefault="002844AC" w:rsidP="00E240FD">
      <w:pPr>
        <w:pBdr>
          <w:top w:val="nil"/>
          <w:left w:val="nil"/>
          <w:bottom w:val="nil"/>
          <w:right w:val="nil"/>
          <w:between w:val="nil"/>
        </w:pBdr>
        <w:spacing w:line="240" w:lineRule="auto"/>
        <w:ind w:left="165" w:right="445" w:firstLine="707"/>
        <w:rPr>
          <w:color w:val="000000"/>
          <w:szCs w:val="24"/>
          <w:lang w:val="en-US"/>
        </w:rPr>
      </w:pPr>
      <w:r>
        <w:rPr>
          <w:b/>
          <w:bCs/>
          <w:color w:val="000000"/>
          <w:szCs w:val="24"/>
          <w:lang w:val="en-US"/>
        </w:rPr>
        <w:t>Table 1.</w:t>
      </w:r>
      <w:r>
        <w:rPr>
          <w:color w:val="000000"/>
          <w:szCs w:val="24"/>
          <w:lang w:val="en-US"/>
        </w:rPr>
        <w:t xml:space="preserve"> Structure and description of variables in the curated VDR ligand dataset.</w:t>
      </w:r>
    </w:p>
    <w:p w14:paraId="000000A7" w14:textId="77777777" w:rsidR="003A1FEB" w:rsidRPr="008840D2" w:rsidRDefault="002844AC" w:rsidP="009C5EB9">
      <w:pPr>
        <w:pBdr>
          <w:top w:val="nil"/>
          <w:left w:val="nil"/>
          <w:bottom w:val="nil"/>
          <w:right w:val="nil"/>
          <w:between w:val="nil"/>
        </w:pBdr>
        <w:spacing w:line="240" w:lineRule="auto"/>
        <w:ind w:left="-567"/>
        <w:rPr>
          <w:color w:val="000000"/>
          <w:szCs w:val="24"/>
          <w:lang w:val="en-US"/>
        </w:rPr>
      </w:pPr>
      <w:r>
        <w:rPr>
          <w:noProof/>
          <w:color w:val="000000"/>
          <w:szCs w:val="24"/>
          <w:lang w:val="en-US"/>
        </w:rPr>
        <w:drawing>
          <wp:inline distT="0" distB="0" distL="0" distR="0" wp14:anchorId="418D39E3" wp14:editId="61F29C4B">
            <wp:extent cx="6123305" cy="3174365"/>
            <wp:effectExtent l="0" t="0" r="0" b="0"/>
            <wp:docPr id="2116791644"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5"/>
                    <a:srcRect/>
                    <a:stretch>
                      <a:fillRect/>
                    </a:stretch>
                  </pic:blipFill>
                  <pic:spPr>
                    <a:xfrm>
                      <a:off x="0" y="0"/>
                      <a:ext cx="6123305" cy="3174365"/>
                    </a:xfrm>
                    <a:prstGeom prst="rect">
                      <a:avLst/>
                    </a:prstGeom>
                    <a:ln/>
                  </pic:spPr>
                </pic:pic>
              </a:graphicData>
            </a:graphic>
          </wp:inline>
        </w:drawing>
      </w:r>
    </w:p>
    <w:p w14:paraId="7DA090B2" w14:textId="77777777" w:rsidR="00E240FD" w:rsidRPr="008840D2" w:rsidRDefault="00E240FD">
      <w:pPr>
        <w:pBdr>
          <w:top w:val="nil"/>
          <w:left w:val="nil"/>
          <w:bottom w:val="nil"/>
          <w:right w:val="nil"/>
          <w:between w:val="nil"/>
        </w:pBdr>
        <w:ind w:left="165" w:right="445" w:firstLine="707"/>
        <w:rPr>
          <w:color w:val="000000"/>
          <w:szCs w:val="24"/>
          <w:lang w:val="en-US"/>
        </w:rPr>
      </w:pPr>
    </w:p>
    <w:p w14:paraId="000000A9" w14:textId="39621C51" w:rsidR="003A1FEB" w:rsidRPr="008840D2" w:rsidRDefault="002844AC" w:rsidP="00C95FA7">
      <w:pPr>
        <w:pStyle w:val="BodyText"/>
      </w:pPr>
      <w:r>
        <w:rPr>
          <w:rStyle w:val="BodyTextChar"/>
        </w:rPr>
        <w:t>The distribution of compounds by structural categories is shown in Figure 3. The large</w:t>
      </w:r>
      <w:r>
        <w:t>st share was made up of analogues - 720 compounds. Significantly smaller groups included metabolites (125), hybrid compounds (63), and non-</w:t>
      </w:r>
      <w:proofErr w:type="spellStart"/>
      <w:r>
        <w:t>secosteroid</w:t>
      </w:r>
      <w:r w:rsidR="00F854DF">
        <w:t>al</w:t>
      </w:r>
      <w:proofErr w:type="spellEnd"/>
      <w:r>
        <w:t xml:space="preserve"> ligands (54).</w:t>
      </w:r>
    </w:p>
    <w:p w14:paraId="000000AA" w14:textId="77777777" w:rsidR="003A1FEB" w:rsidRPr="008840D2" w:rsidRDefault="002844AC" w:rsidP="00E240FD">
      <w:pPr>
        <w:pBdr>
          <w:top w:val="nil"/>
          <w:left w:val="nil"/>
          <w:bottom w:val="nil"/>
          <w:right w:val="nil"/>
          <w:between w:val="nil"/>
        </w:pBdr>
        <w:spacing w:line="240" w:lineRule="auto"/>
        <w:jc w:val="center"/>
        <w:rPr>
          <w:color w:val="000000"/>
          <w:szCs w:val="24"/>
          <w:lang w:val="en-US"/>
        </w:rPr>
      </w:pPr>
      <w:r>
        <w:rPr>
          <w:noProof/>
          <w:color w:val="000000"/>
          <w:szCs w:val="24"/>
          <w:lang w:val="en-US"/>
        </w:rPr>
        <w:lastRenderedPageBreak/>
        <w:drawing>
          <wp:inline distT="0" distB="0" distL="0" distR="0" wp14:anchorId="3362D97D" wp14:editId="1F864FF7">
            <wp:extent cx="3664085" cy="2597485"/>
            <wp:effectExtent l="0" t="0" r="0" b="0"/>
            <wp:docPr id="2116791643" name="image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9.png"/>
                    <pic:cNvPicPr/>
                  </pic:nvPicPr>
                  <pic:blipFill>
                    <a:blip r:embed="rId16"/>
                    <a:srcRect/>
                    <a:stretch>
                      <a:fillRect/>
                    </a:stretch>
                  </pic:blipFill>
                  <pic:spPr>
                    <a:xfrm>
                      <a:off x="0" y="0"/>
                      <a:ext cx="3676221" cy="2606088"/>
                    </a:xfrm>
                    <a:prstGeom prst="rect">
                      <a:avLst/>
                    </a:prstGeom>
                    <a:ln/>
                  </pic:spPr>
                </pic:pic>
              </a:graphicData>
            </a:graphic>
          </wp:inline>
        </w:drawing>
      </w:r>
    </w:p>
    <w:p w14:paraId="000000AB" w14:textId="73ED8B66" w:rsidR="003A1FEB" w:rsidRPr="008840D2" w:rsidRDefault="002844AC" w:rsidP="00E240FD">
      <w:pPr>
        <w:pBdr>
          <w:top w:val="nil"/>
          <w:left w:val="nil"/>
          <w:bottom w:val="nil"/>
          <w:right w:val="nil"/>
          <w:between w:val="nil"/>
        </w:pBdr>
        <w:spacing w:after="120"/>
        <w:jc w:val="center"/>
        <w:rPr>
          <w:color w:val="000000"/>
          <w:szCs w:val="24"/>
          <w:lang w:val="en-US"/>
        </w:rPr>
      </w:pPr>
      <w:r>
        <w:rPr>
          <w:b/>
          <w:bCs/>
          <w:color w:val="000000"/>
          <w:szCs w:val="24"/>
          <w:lang w:val="en-US"/>
        </w:rPr>
        <w:t xml:space="preserve">Figure 3. </w:t>
      </w:r>
      <w:r>
        <w:rPr>
          <w:color w:val="000000"/>
          <w:szCs w:val="24"/>
          <w:lang w:val="en-US"/>
        </w:rPr>
        <w:t>Distribution of VDR ligands across structural categories.</w:t>
      </w:r>
    </w:p>
    <w:p w14:paraId="030643AA" w14:textId="77777777" w:rsidR="00E240FD" w:rsidRPr="008840D2" w:rsidRDefault="00E240FD" w:rsidP="00E240FD">
      <w:pPr>
        <w:pBdr>
          <w:top w:val="nil"/>
          <w:left w:val="nil"/>
          <w:bottom w:val="nil"/>
          <w:right w:val="nil"/>
          <w:between w:val="nil"/>
        </w:pBdr>
        <w:spacing w:after="120" w:line="240" w:lineRule="auto"/>
        <w:jc w:val="center"/>
        <w:rPr>
          <w:color w:val="000000"/>
          <w:szCs w:val="24"/>
          <w:lang w:val="en-US"/>
        </w:rPr>
      </w:pPr>
    </w:p>
    <w:p w14:paraId="000000AC" w14:textId="77777777" w:rsidR="003A1FEB" w:rsidRPr="008840D2" w:rsidRDefault="002844AC">
      <w:pPr>
        <w:pStyle w:val="Heading2"/>
        <w:rPr>
          <w:lang w:val="en-US"/>
        </w:rPr>
      </w:pPr>
      <w:bookmarkStart w:id="31" w:name="_Toc227014994"/>
      <w:r>
        <w:rPr>
          <w:lang w:val="en-US"/>
        </w:rPr>
        <w:t>4.2. Molecular property profiling of VDR ligands</w:t>
      </w:r>
      <w:bookmarkEnd w:id="31"/>
    </w:p>
    <w:p w14:paraId="000000AD" w14:textId="77777777" w:rsidR="003A1FEB" w:rsidRPr="008840D2" w:rsidRDefault="002844AC">
      <w:pPr>
        <w:pStyle w:val="Heading3"/>
        <w:rPr>
          <w:lang w:val="en-US"/>
        </w:rPr>
      </w:pPr>
      <w:bookmarkStart w:id="32" w:name="_Toc227014995"/>
      <w:r>
        <w:rPr>
          <w:lang w:val="en-US"/>
        </w:rPr>
        <w:t>4.2.1 Physicochemical descriptor distribution</w:t>
      </w:r>
      <w:bookmarkEnd w:id="32"/>
    </w:p>
    <w:p w14:paraId="000000AE" w14:textId="032ABD35" w:rsidR="003A1FEB" w:rsidRPr="00FE5C8A" w:rsidRDefault="002844AC" w:rsidP="00C95FA7">
      <w:pPr>
        <w:pStyle w:val="BodyText"/>
        <w:rPr>
          <w:lang w:val="ru-RU"/>
        </w:rPr>
      </w:pPr>
      <w:r>
        <w:t>In the previous step, molecular structures were converted from MOL format to isomeric SMILES format using Open Babel, with preservation of stereochemical information. The resulting SMILES strings were compiled into a CSV file containing two essential fields</w:t>
      </w:r>
      <w:r w:rsidR="00971F56">
        <w:t>, a</w:t>
      </w:r>
      <w:r>
        <w:t xml:space="preserve"> ligand ID and corresponding SMILES representation. This CSV file served as the input for all subsequent descriptor calculations in </w:t>
      </w:r>
      <w:proofErr w:type="spellStart"/>
      <w:r>
        <w:t>RDKit</w:t>
      </w:r>
      <w:proofErr w:type="spellEnd"/>
      <w:r>
        <w:t>.</w:t>
      </w:r>
      <w:r w:rsidR="00FE5C8A">
        <w:rPr>
          <w:lang w:val="ru-RU"/>
        </w:rPr>
        <w:t xml:space="preserve"> </w:t>
      </w:r>
      <w:r w:rsidR="00CB159C" w:rsidRPr="00CB159C">
        <w:rPr>
          <w:lang w:val="en"/>
        </w:rPr>
        <w:t>Out of the curated dataset, 423 compounds were not found in PubChem, whereas for the retrieved subset, the physicochemical descriptors were consistent with those</w:t>
      </w:r>
      <w:r w:rsidR="00CB159C">
        <w:rPr>
          <w:lang w:val="ru-RU"/>
        </w:rPr>
        <w:t>,</w:t>
      </w:r>
      <w:r w:rsidR="00CB159C" w:rsidRPr="00CB159C">
        <w:rPr>
          <w:lang w:val="en"/>
        </w:rPr>
        <w:t xml:space="preserve"> calculated using </w:t>
      </w:r>
      <w:proofErr w:type="spellStart"/>
      <w:r w:rsidR="00CB159C" w:rsidRPr="00CB159C">
        <w:rPr>
          <w:lang w:val="en"/>
        </w:rPr>
        <w:t>RDKit</w:t>
      </w:r>
      <w:proofErr w:type="spellEnd"/>
      <w:r w:rsidR="00CB159C" w:rsidRPr="00CB159C">
        <w:rPr>
          <w:lang w:val="en"/>
        </w:rPr>
        <w:t>.</w:t>
      </w:r>
    </w:p>
    <w:p w14:paraId="000000AF" w14:textId="705E409A" w:rsidR="003A1FEB" w:rsidRPr="008840D2" w:rsidRDefault="002844AC" w:rsidP="00C95FA7">
      <w:pPr>
        <w:pStyle w:val="BodyText"/>
      </w:pPr>
      <w:r>
        <w:t>As shown in Figure 4, the physicochemical descriptors of VDR ligands exhibit relatively narrow and unimodal distributions, indicating a compact chemical space. MW is centered around 450 Da, while the number of heavy atoms shows a consistent distribution near 30–35 atoms, reflecting a conserved structural core.</w:t>
      </w:r>
    </w:p>
    <w:p w14:paraId="000000B2" w14:textId="2B53B47F" w:rsidR="003A1FEB" w:rsidRPr="008840D2" w:rsidRDefault="002844AC" w:rsidP="00C95FA7">
      <w:pPr>
        <w:pStyle w:val="BodyText"/>
      </w:pPr>
      <w:r>
        <w:t>Lipophilicity is predominantly distributed around 5-6, confirming the hydrophobic nature of the compounds. TPSA values are mainly concentrated near 60–70</w:t>
      </w:r>
      <w:r w:rsidR="004E76DA">
        <w:t xml:space="preserve"> </w:t>
      </w:r>
      <w:r>
        <w:t>Å², and both HBD and HBA display low and narrow distributions, consistent with limited polarity.</w:t>
      </w:r>
      <w:r w:rsidR="00581229">
        <w:t xml:space="preserve"> </w:t>
      </w:r>
      <w:r>
        <w:t>In contrast, rotatable bonds and stereo centers show broader distributions, indicating variability in molecular flexibility and stereochemical complexity. The number of rings is tightly centered around 3-4, supporting the presence of common cyclic scaffolds.</w:t>
      </w:r>
    </w:p>
    <w:p w14:paraId="4C61E912" w14:textId="6F26C71E" w:rsidR="00572E17" w:rsidRPr="008840D2" w:rsidRDefault="00572E17" w:rsidP="0071186E">
      <w:pPr>
        <w:pBdr>
          <w:top w:val="nil"/>
          <w:left w:val="nil"/>
          <w:bottom w:val="nil"/>
          <w:right w:val="nil"/>
          <w:between w:val="nil"/>
        </w:pBdr>
        <w:spacing w:line="240" w:lineRule="auto"/>
        <w:ind w:left="-1418" w:right="-1415"/>
        <w:rPr>
          <w:noProof/>
          <w:lang w:val="en-US"/>
        </w:rPr>
      </w:pPr>
      <w:r>
        <w:rPr>
          <w:noProof/>
          <w:lang w:val="en-US"/>
        </w:rPr>
        <w:lastRenderedPageBreak/>
        <w:t>a)</w:t>
      </w:r>
      <w:r>
        <w:rPr>
          <w:noProof/>
          <w:lang w:val="en-US"/>
        </w:rPr>
        <w:drawing>
          <wp:inline distT="0" distB="0" distL="0" distR="0" wp14:anchorId="447F0EBA" wp14:editId="6F5B39EC">
            <wp:extent cx="2268000" cy="1607966"/>
            <wp:effectExtent l="0" t="0" r="0" b="0"/>
            <wp:docPr id="14962292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6229237" name=""/>
                    <pic:cNvPicPr/>
                  </pic:nvPicPr>
                  <pic:blipFill>
                    <a:blip r:embed="rId17"/>
                    <a:stretch>
                      <a:fillRect/>
                    </a:stretch>
                  </pic:blipFill>
                  <pic:spPr>
                    <a:xfrm>
                      <a:off x="0" y="0"/>
                      <a:ext cx="2268000" cy="1607966"/>
                    </a:xfrm>
                    <a:prstGeom prst="rect">
                      <a:avLst/>
                    </a:prstGeom>
                  </pic:spPr>
                </pic:pic>
              </a:graphicData>
            </a:graphic>
          </wp:inline>
        </w:drawing>
      </w:r>
      <w:r>
        <w:rPr>
          <w:noProof/>
          <w:lang w:val="en-US"/>
        </w:rPr>
        <w:t>b)</w:t>
      </w:r>
      <w:r>
        <w:rPr>
          <w:noProof/>
          <w:lang w:val="en-US"/>
        </w:rPr>
        <w:drawing>
          <wp:inline distT="0" distB="0" distL="0" distR="0" wp14:anchorId="5D095CE2" wp14:editId="77C118E1">
            <wp:extent cx="2268000" cy="1607966"/>
            <wp:effectExtent l="0" t="0" r="0" b="0"/>
            <wp:docPr id="11206871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0687198" name=""/>
                    <pic:cNvPicPr/>
                  </pic:nvPicPr>
                  <pic:blipFill>
                    <a:blip r:embed="rId18"/>
                    <a:stretch>
                      <a:fillRect/>
                    </a:stretch>
                  </pic:blipFill>
                  <pic:spPr>
                    <a:xfrm>
                      <a:off x="0" y="0"/>
                      <a:ext cx="2268000" cy="1607966"/>
                    </a:xfrm>
                    <a:prstGeom prst="rect">
                      <a:avLst/>
                    </a:prstGeom>
                  </pic:spPr>
                </pic:pic>
              </a:graphicData>
            </a:graphic>
          </wp:inline>
        </w:drawing>
      </w:r>
      <w:r>
        <w:rPr>
          <w:noProof/>
          <w:lang w:val="en-US"/>
        </w:rPr>
        <w:t>c)</w:t>
      </w:r>
      <w:r>
        <w:rPr>
          <w:noProof/>
          <w:lang w:val="en-US"/>
        </w:rPr>
        <w:drawing>
          <wp:inline distT="0" distB="0" distL="0" distR="0" wp14:anchorId="6837B15C" wp14:editId="2451F1DE">
            <wp:extent cx="2268000" cy="1607966"/>
            <wp:effectExtent l="0" t="0" r="0" b="0"/>
            <wp:docPr id="379537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53707" name=""/>
                    <pic:cNvPicPr/>
                  </pic:nvPicPr>
                  <pic:blipFill>
                    <a:blip r:embed="rId19"/>
                    <a:stretch>
                      <a:fillRect/>
                    </a:stretch>
                  </pic:blipFill>
                  <pic:spPr>
                    <a:xfrm>
                      <a:off x="0" y="0"/>
                      <a:ext cx="2268000" cy="1607966"/>
                    </a:xfrm>
                    <a:prstGeom prst="rect">
                      <a:avLst/>
                    </a:prstGeom>
                  </pic:spPr>
                </pic:pic>
              </a:graphicData>
            </a:graphic>
          </wp:inline>
        </w:drawing>
      </w:r>
      <w:r>
        <w:rPr>
          <w:noProof/>
          <w:lang w:val="en-US"/>
        </w:rPr>
        <w:t>d)</w:t>
      </w:r>
      <w:r>
        <w:rPr>
          <w:noProof/>
          <w:lang w:val="en-US"/>
        </w:rPr>
        <w:drawing>
          <wp:inline distT="0" distB="0" distL="0" distR="0" wp14:anchorId="6AB4CFD5" wp14:editId="27A0AD78">
            <wp:extent cx="2268000" cy="1607966"/>
            <wp:effectExtent l="0" t="0" r="0" b="0"/>
            <wp:docPr id="5932458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3245881" name=""/>
                    <pic:cNvPicPr/>
                  </pic:nvPicPr>
                  <pic:blipFill>
                    <a:blip r:embed="rId20"/>
                    <a:stretch>
                      <a:fillRect/>
                    </a:stretch>
                  </pic:blipFill>
                  <pic:spPr>
                    <a:xfrm>
                      <a:off x="0" y="0"/>
                      <a:ext cx="2268000" cy="1607966"/>
                    </a:xfrm>
                    <a:prstGeom prst="rect">
                      <a:avLst/>
                    </a:prstGeom>
                  </pic:spPr>
                </pic:pic>
              </a:graphicData>
            </a:graphic>
          </wp:inline>
        </w:drawing>
      </w:r>
      <w:r>
        <w:rPr>
          <w:noProof/>
          <w:lang w:val="en-US"/>
        </w:rPr>
        <w:t>e)</w:t>
      </w:r>
      <w:r>
        <w:rPr>
          <w:noProof/>
          <w:lang w:val="en-US"/>
        </w:rPr>
        <w:drawing>
          <wp:inline distT="0" distB="0" distL="0" distR="0" wp14:anchorId="20AAF7FD" wp14:editId="561DC909">
            <wp:extent cx="2268000" cy="1607966"/>
            <wp:effectExtent l="0" t="0" r="0" b="0"/>
            <wp:docPr id="15414463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1446358" name=""/>
                    <pic:cNvPicPr/>
                  </pic:nvPicPr>
                  <pic:blipFill>
                    <a:blip r:embed="rId21"/>
                    <a:stretch>
                      <a:fillRect/>
                    </a:stretch>
                  </pic:blipFill>
                  <pic:spPr>
                    <a:xfrm>
                      <a:off x="0" y="0"/>
                      <a:ext cx="2268000" cy="1607966"/>
                    </a:xfrm>
                    <a:prstGeom prst="rect">
                      <a:avLst/>
                    </a:prstGeom>
                  </pic:spPr>
                </pic:pic>
              </a:graphicData>
            </a:graphic>
          </wp:inline>
        </w:drawing>
      </w:r>
      <w:r>
        <w:rPr>
          <w:noProof/>
          <w:lang w:val="en-US"/>
        </w:rPr>
        <w:t>f)</w:t>
      </w:r>
      <w:r>
        <w:rPr>
          <w:noProof/>
          <w:lang w:val="en-US"/>
        </w:rPr>
        <w:drawing>
          <wp:inline distT="0" distB="0" distL="0" distR="0" wp14:anchorId="14B2E488" wp14:editId="1B402B1B">
            <wp:extent cx="2268000" cy="1607966"/>
            <wp:effectExtent l="0" t="0" r="0" b="0"/>
            <wp:docPr id="4665601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6560156" name=""/>
                    <pic:cNvPicPr/>
                  </pic:nvPicPr>
                  <pic:blipFill>
                    <a:blip r:embed="rId22"/>
                    <a:stretch>
                      <a:fillRect/>
                    </a:stretch>
                  </pic:blipFill>
                  <pic:spPr>
                    <a:xfrm>
                      <a:off x="0" y="0"/>
                      <a:ext cx="2268000" cy="1607966"/>
                    </a:xfrm>
                    <a:prstGeom prst="rect">
                      <a:avLst/>
                    </a:prstGeom>
                  </pic:spPr>
                </pic:pic>
              </a:graphicData>
            </a:graphic>
          </wp:inline>
        </w:drawing>
      </w:r>
      <w:r>
        <w:rPr>
          <w:noProof/>
          <w:lang w:val="en-US"/>
        </w:rPr>
        <w:t>g)</w:t>
      </w:r>
      <w:r>
        <w:rPr>
          <w:noProof/>
          <w:lang w:val="en-US"/>
        </w:rPr>
        <w:drawing>
          <wp:inline distT="0" distB="0" distL="0" distR="0" wp14:anchorId="56DDA5FE" wp14:editId="4A793C38">
            <wp:extent cx="2268000" cy="1607966"/>
            <wp:effectExtent l="0" t="0" r="0" b="0"/>
            <wp:docPr id="7694976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9497630" name=""/>
                    <pic:cNvPicPr/>
                  </pic:nvPicPr>
                  <pic:blipFill>
                    <a:blip r:embed="rId23"/>
                    <a:stretch>
                      <a:fillRect/>
                    </a:stretch>
                  </pic:blipFill>
                  <pic:spPr>
                    <a:xfrm>
                      <a:off x="0" y="0"/>
                      <a:ext cx="2268000" cy="1607966"/>
                    </a:xfrm>
                    <a:prstGeom prst="rect">
                      <a:avLst/>
                    </a:prstGeom>
                  </pic:spPr>
                </pic:pic>
              </a:graphicData>
            </a:graphic>
          </wp:inline>
        </w:drawing>
      </w:r>
      <w:r>
        <w:rPr>
          <w:noProof/>
          <w:lang w:val="en-US"/>
        </w:rPr>
        <w:t>h)</w:t>
      </w:r>
      <w:r>
        <w:rPr>
          <w:noProof/>
          <w:lang w:val="en-US"/>
        </w:rPr>
        <w:drawing>
          <wp:inline distT="0" distB="0" distL="0" distR="0" wp14:anchorId="6FC9CF25" wp14:editId="5A279FF7">
            <wp:extent cx="2268000" cy="1607966"/>
            <wp:effectExtent l="0" t="0" r="0" b="0"/>
            <wp:docPr id="16544931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4493196" name=""/>
                    <pic:cNvPicPr/>
                  </pic:nvPicPr>
                  <pic:blipFill>
                    <a:blip r:embed="rId24"/>
                    <a:stretch>
                      <a:fillRect/>
                    </a:stretch>
                  </pic:blipFill>
                  <pic:spPr>
                    <a:xfrm>
                      <a:off x="0" y="0"/>
                      <a:ext cx="2268000" cy="1607966"/>
                    </a:xfrm>
                    <a:prstGeom prst="rect">
                      <a:avLst/>
                    </a:prstGeom>
                  </pic:spPr>
                </pic:pic>
              </a:graphicData>
            </a:graphic>
          </wp:inline>
        </w:drawing>
      </w:r>
      <w:r>
        <w:rPr>
          <w:noProof/>
          <w:lang w:val="en-US"/>
        </w:rPr>
        <w:t>i)</w:t>
      </w:r>
      <w:r>
        <w:rPr>
          <w:noProof/>
          <w:lang w:val="en-US"/>
        </w:rPr>
        <w:drawing>
          <wp:inline distT="0" distB="0" distL="0" distR="0" wp14:anchorId="457611BD" wp14:editId="0FF9B6C8">
            <wp:extent cx="2268000" cy="1607966"/>
            <wp:effectExtent l="0" t="0" r="0" b="0"/>
            <wp:docPr id="430729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72993" name=""/>
                    <pic:cNvPicPr/>
                  </pic:nvPicPr>
                  <pic:blipFill>
                    <a:blip r:embed="rId25"/>
                    <a:stretch>
                      <a:fillRect/>
                    </a:stretch>
                  </pic:blipFill>
                  <pic:spPr>
                    <a:xfrm>
                      <a:off x="0" y="0"/>
                      <a:ext cx="2268000" cy="1607966"/>
                    </a:xfrm>
                    <a:prstGeom prst="rect">
                      <a:avLst/>
                    </a:prstGeom>
                  </pic:spPr>
                </pic:pic>
              </a:graphicData>
            </a:graphic>
          </wp:inline>
        </w:drawing>
      </w:r>
    </w:p>
    <w:p w14:paraId="016F4B77" w14:textId="77777777" w:rsidR="008840D2" w:rsidRPr="008840D2" w:rsidRDefault="002844AC" w:rsidP="0071186E">
      <w:pPr>
        <w:pBdr>
          <w:top w:val="nil"/>
          <w:left w:val="nil"/>
          <w:bottom w:val="nil"/>
          <w:right w:val="nil"/>
          <w:between w:val="nil"/>
        </w:pBdr>
        <w:spacing w:line="240" w:lineRule="auto"/>
        <w:jc w:val="center"/>
        <w:rPr>
          <w:color w:val="000000"/>
          <w:szCs w:val="24"/>
          <w:lang w:val="en-US"/>
        </w:rPr>
      </w:pPr>
      <w:r>
        <w:rPr>
          <w:b/>
          <w:bCs/>
          <w:color w:val="000000"/>
          <w:szCs w:val="24"/>
          <w:lang w:val="en-US"/>
        </w:rPr>
        <w:t xml:space="preserve">Figure 4. </w:t>
      </w:r>
      <w:r>
        <w:rPr>
          <w:color w:val="000000"/>
          <w:szCs w:val="24"/>
          <w:lang w:val="en-US"/>
        </w:rPr>
        <w:t>Distribution of physicochemical descriptors of VDR ligands.</w:t>
      </w:r>
    </w:p>
    <w:p w14:paraId="000000B3" w14:textId="0CDEC649" w:rsidR="003A1FEB" w:rsidRPr="008840D2" w:rsidRDefault="008840D2" w:rsidP="0071186E">
      <w:pPr>
        <w:pBdr>
          <w:top w:val="nil"/>
          <w:left w:val="nil"/>
          <w:bottom w:val="nil"/>
          <w:right w:val="nil"/>
          <w:between w:val="nil"/>
        </w:pBdr>
        <w:spacing w:line="240" w:lineRule="auto"/>
        <w:jc w:val="center"/>
        <w:rPr>
          <w:color w:val="000000"/>
          <w:sz w:val="22"/>
          <w:lang w:val="en-US"/>
        </w:rPr>
      </w:pPr>
      <w:r>
        <w:rPr>
          <w:color w:val="000000"/>
          <w:sz w:val="22"/>
          <w:lang w:val="en-US"/>
        </w:rPr>
        <w:t xml:space="preserve">(a) MW, (b) TPSA, (c) Heavy Atoms, (d) </w:t>
      </w:r>
      <w:proofErr w:type="spellStart"/>
      <w:r>
        <w:rPr>
          <w:color w:val="000000"/>
          <w:sz w:val="22"/>
          <w:lang w:val="en-US"/>
        </w:rPr>
        <w:t>LogP</w:t>
      </w:r>
      <w:proofErr w:type="spellEnd"/>
      <w:r>
        <w:rPr>
          <w:color w:val="000000"/>
          <w:sz w:val="22"/>
          <w:lang w:val="en-US"/>
        </w:rPr>
        <w:t xml:space="preserve">, (e) HBA, (f) HBD, (g) Number of </w:t>
      </w:r>
      <w:proofErr w:type="spellStart"/>
      <w:r>
        <w:rPr>
          <w:color w:val="000000"/>
          <w:sz w:val="22"/>
          <w:lang w:val="en-US"/>
        </w:rPr>
        <w:t>RotB</w:t>
      </w:r>
      <w:proofErr w:type="spellEnd"/>
      <w:r>
        <w:rPr>
          <w:color w:val="000000"/>
          <w:sz w:val="22"/>
          <w:lang w:val="en-US"/>
        </w:rPr>
        <w:t>, (h) Number of rings and (</w:t>
      </w:r>
      <w:proofErr w:type="spellStart"/>
      <w:r>
        <w:rPr>
          <w:color w:val="000000"/>
          <w:sz w:val="22"/>
          <w:lang w:val="en-US"/>
        </w:rPr>
        <w:t>i</w:t>
      </w:r>
      <w:proofErr w:type="spellEnd"/>
      <w:r>
        <w:rPr>
          <w:color w:val="000000"/>
          <w:sz w:val="22"/>
          <w:lang w:val="en-US"/>
        </w:rPr>
        <w:t>) Number of stereo centers</w:t>
      </w:r>
    </w:p>
    <w:p w14:paraId="06258A98" w14:textId="77777777" w:rsidR="0071186E" w:rsidRPr="008840D2" w:rsidRDefault="0071186E" w:rsidP="0071186E">
      <w:pPr>
        <w:pBdr>
          <w:top w:val="nil"/>
          <w:left w:val="nil"/>
          <w:bottom w:val="nil"/>
          <w:right w:val="nil"/>
          <w:between w:val="nil"/>
        </w:pBdr>
        <w:spacing w:line="240" w:lineRule="auto"/>
        <w:jc w:val="center"/>
        <w:rPr>
          <w:color w:val="000000"/>
          <w:szCs w:val="24"/>
          <w:lang w:val="en-US"/>
        </w:rPr>
      </w:pPr>
    </w:p>
    <w:p w14:paraId="000000B4" w14:textId="77777777" w:rsidR="003A1FEB" w:rsidRPr="008840D2" w:rsidRDefault="002844AC">
      <w:pPr>
        <w:pStyle w:val="Heading4"/>
        <w:rPr>
          <w:lang w:val="en-US"/>
        </w:rPr>
      </w:pPr>
      <w:r>
        <w:rPr>
          <w:lang w:val="en-US"/>
        </w:rPr>
        <w:t>4.2.2 Drug-likeness assessment</w:t>
      </w:r>
    </w:p>
    <w:p w14:paraId="000000B5" w14:textId="6A8C8E4F" w:rsidR="003A1FEB" w:rsidRPr="008840D2" w:rsidRDefault="002844AC" w:rsidP="00C95FA7">
      <w:pPr>
        <w:pStyle w:val="BodyText"/>
      </w:pPr>
      <w:r>
        <w:t>The drug-likeness assessment showed that most VDR ligands were characterized by a limited number of violations of the Lipinski’s rule and generally high compliance with the Veber criteria.</w:t>
      </w:r>
    </w:p>
    <w:p w14:paraId="49844FA7" w14:textId="77777777" w:rsidR="004815E1" w:rsidRPr="008840D2" w:rsidRDefault="002844AC" w:rsidP="00C95FA7">
      <w:pPr>
        <w:pStyle w:val="BodyText"/>
      </w:pPr>
      <w:r>
        <w:t>According to Lipinski's rule, 176 compounds (18.3%) had no violations, 630 (65.49%) had one violation, 153 (15.9%) had two violations, and 3 (0.31%) had three violations. According to Veber criteria, 841 compounds (87.42%) had no violations, 118 (12.27%) had one violation, and 0.31% had two violations (Table 2).</w:t>
      </w:r>
    </w:p>
    <w:p w14:paraId="000000B7" w14:textId="4D296E96" w:rsidR="003A1FEB" w:rsidRPr="008840D2" w:rsidRDefault="002844AC" w:rsidP="00E240FD">
      <w:pPr>
        <w:pBdr>
          <w:top w:val="nil"/>
          <w:left w:val="nil"/>
          <w:bottom w:val="nil"/>
          <w:right w:val="nil"/>
          <w:between w:val="nil"/>
        </w:pBdr>
        <w:spacing w:line="240" w:lineRule="auto"/>
        <w:ind w:left="165" w:right="445" w:firstLine="707"/>
        <w:rPr>
          <w:color w:val="000000"/>
          <w:szCs w:val="24"/>
          <w:lang w:val="en-US"/>
        </w:rPr>
      </w:pPr>
      <w:r>
        <w:rPr>
          <w:b/>
          <w:bCs/>
          <w:color w:val="000000"/>
          <w:szCs w:val="24"/>
          <w:lang w:val="en-US"/>
        </w:rPr>
        <w:t>Table 2.</w:t>
      </w:r>
      <w:r>
        <w:rPr>
          <w:color w:val="000000"/>
          <w:szCs w:val="24"/>
          <w:lang w:val="en-US"/>
        </w:rPr>
        <w:t xml:space="preserve"> Distribution of Lipinski’s and Veber’s rule violations.</w:t>
      </w:r>
    </w:p>
    <w:p w14:paraId="000000B8" w14:textId="77777777" w:rsidR="003A1FEB" w:rsidRPr="008840D2" w:rsidRDefault="002844AC" w:rsidP="004E6816">
      <w:pPr>
        <w:pBdr>
          <w:top w:val="nil"/>
          <w:left w:val="nil"/>
          <w:bottom w:val="nil"/>
          <w:right w:val="nil"/>
          <w:between w:val="nil"/>
        </w:pBdr>
        <w:spacing w:line="240" w:lineRule="auto"/>
        <w:ind w:left="-426"/>
        <w:rPr>
          <w:color w:val="000000"/>
          <w:szCs w:val="24"/>
          <w:lang w:val="en-US"/>
        </w:rPr>
      </w:pPr>
      <w:r>
        <w:rPr>
          <w:noProof/>
          <w:color w:val="000000"/>
          <w:szCs w:val="24"/>
          <w:lang w:val="en-US"/>
        </w:rPr>
        <w:lastRenderedPageBreak/>
        <w:drawing>
          <wp:inline distT="0" distB="0" distL="0" distR="0" wp14:anchorId="0C0EF8FE" wp14:editId="3572DD66">
            <wp:extent cx="6123305" cy="962660"/>
            <wp:effectExtent l="0" t="0" r="0" b="0"/>
            <wp:docPr id="2116791645"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26"/>
                    <a:srcRect/>
                    <a:stretch>
                      <a:fillRect/>
                    </a:stretch>
                  </pic:blipFill>
                  <pic:spPr>
                    <a:xfrm>
                      <a:off x="0" y="0"/>
                      <a:ext cx="6123305" cy="962660"/>
                    </a:xfrm>
                    <a:prstGeom prst="rect">
                      <a:avLst/>
                    </a:prstGeom>
                    <a:ln/>
                  </pic:spPr>
                </pic:pic>
              </a:graphicData>
            </a:graphic>
          </wp:inline>
        </w:drawing>
      </w:r>
    </w:p>
    <w:p w14:paraId="7C0FEBCE" w14:textId="77777777" w:rsidR="00E240FD" w:rsidRPr="008840D2" w:rsidRDefault="00E240FD" w:rsidP="004815E1">
      <w:pPr>
        <w:pBdr>
          <w:top w:val="nil"/>
          <w:left w:val="nil"/>
          <w:bottom w:val="nil"/>
          <w:right w:val="nil"/>
          <w:between w:val="nil"/>
        </w:pBdr>
        <w:ind w:left="165" w:right="445" w:firstLine="707"/>
        <w:rPr>
          <w:color w:val="000000"/>
          <w:szCs w:val="24"/>
          <w:lang w:val="en-US"/>
        </w:rPr>
      </w:pPr>
    </w:p>
    <w:p w14:paraId="3EE21DD6" w14:textId="5F9BEE40" w:rsidR="00A61CF9" w:rsidRPr="008840D2" w:rsidRDefault="00A61CF9" w:rsidP="00C95FA7">
      <w:pPr>
        <w:pStyle w:val="BodyText"/>
      </w:pPr>
      <w:r>
        <w:t xml:space="preserve">Among the individual criteria, the </w:t>
      </w:r>
      <w:proofErr w:type="spellStart"/>
      <w:r>
        <w:t>Lipinski_logP</w:t>
      </w:r>
      <w:proofErr w:type="spellEnd"/>
      <w:r>
        <w:t xml:space="preserve"> parameter &lt; 5 was most often violated: only 185 compounds (19.23%) met it, while 777 (80.77%) it was exceeded. 797 compounds (82.85%) met the </w:t>
      </w:r>
      <w:proofErr w:type="spellStart"/>
      <w:r>
        <w:t>Lipinski_MW</w:t>
      </w:r>
      <w:proofErr w:type="spellEnd"/>
      <w:r>
        <w:t xml:space="preserve"> &lt; 500 criterion, while 165 (17.15%) did not. The remaining parameters were performed for most compounds: 100% for </w:t>
      </w:r>
      <w:proofErr w:type="spellStart"/>
      <w:r>
        <w:t>Lipinski_HBA</w:t>
      </w:r>
      <w:proofErr w:type="spellEnd"/>
      <w:r>
        <w:t xml:space="preserve"> ≤ 10, 99.69% for </w:t>
      </w:r>
      <w:proofErr w:type="spellStart"/>
      <w:r>
        <w:t>Lipinski_HBD</w:t>
      </w:r>
      <w:proofErr w:type="spellEnd"/>
      <w:r>
        <w:t xml:space="preserve"> ≤ 5, 87.42% - </w:t>
      </w:r>
      <w:proofErr w:type="spellStart"/>
      <w:r>
        <w:t>Veber_RotB</w:t>
      </w:r>
      <w:proofErr w:type="spellEnd"/>
      <w:r>
        <w:t xml:space="preserve"> ≤ 10 and 99.69% for </w:t>
      </w:r>
      <w:proofErr w:type="spellStart"/>
      <w:r>
        <w:t>Veber_TPSA</w:t>
      </w:r>
      <w:proofErr w:type="spellEnd"/>
      <w:r>
        <w:t xml:space="preserve"> ≤ 140 (Table 3).</w:t>
      </w:r>
    </w:p>
    <w:p w14:paraId="48E508D9" w14:textId="77777777" w:rsidR="004815E1" w:rsidRPr="008840D2" w:rsidRDefault="002844AC" w:rsidP="00C95FA7">
      <w:pPr>
        <w:pStyle w:val="BodyText"/>
      </w:pPr>
      <w:r>
        <w:t>In general, the dataset of VDR ligands was characterized by preferential compliance with the criteria of drug-likeness, while the main source of violations was increased lipophilicity.</w:t>
      </w:r>
    </w:p>
    <w:p w14:paraId="000000BB" w14:textId="470C960B" w:rsidR="003A1FEB" w:rsidRPr="008840D2" w:rsidRDefault="002844AC" w:rsidP="00E240FD">
      <w:pPr>
        <w:pBdr>
          <w:top w:val="nil"/>
          <w:left w:val="nil"/>
          <w:bottom w:val="nil"/>
          <w:right w:val="nil"/>
          <w:between w:val="nil"/>
        </w:pBdr>
        <w:spacing w:line="240" w:lineRule="auto"/>
        <w:ind w:left="165" w:right="445" w:firstLine="707"/>
        <w:rPr>
          <w:color w:val="000000"/>
          <w:sz w:val="28"/>
          <w:szCs w:val="28"/>
          <w:lang w:val="en-US"/>
        </w:rPr>
      </w:pPr>
      <w:r>
        <w:rPr>
          <w:b/>
          <w:bCs/>
          <w:szCs w:val="24"/>
          <w:lang w:val="en-US"/>
        </w:rPr>
        <w:t>Table 3.</w:t>
      </w:r>
      <w:r>
        <w:rPr>
          <w:szCs w:val="24"/>
          <w:lang w:val="en-US"/>
        </w:rPr>
        <w:t xml:space="preserve"> Compliance with individual drug-likeness criteria.</w:t>
      </w:r>
    </w:p>
    <w:p w14:paraId="000000BC" w14:textId="77777777" w:rsidR="003A1FEB" w:rsidRPr="008840D2" w:rsidRDefault="002844AC" w:rsidP="004E6816">
      <w:pPr>
        <w:pBdr>
          <w:top w:val="nil"/>
          <w:left w:val="nil"/>
          <w:bottom w:val="nil"/>
          <w:right w:val="nil"/>
          <w:between w:val="nil"/>
        </w:pBdr>
        <w:ind w:left="-426"/>
        <w:rPr>
          <w:color w:val="000000"/>
          <w:szCs w:val="24"/>
          <w:lang w:val="en-US"/>
        </w:rPr>
      </w:pPr>
      <w:r>
        <w:rPr>
          <w:noProof/>
          <w:color w:val="000000"/>
          <w:szCs w:val="24"/>
          <w:lang w:val="en-US"/>
        </w:rPr>
        <w:drawing>
          <wp:inline distT="0" distB="0" distL="0" distR="0" wp14:anchorId="12A46394" wp14:editId="478CF038">
            <wp:extent cx="6123305" cy="1144270"/>
            <wp:effectExtent l="0" t="0" r="0" b="0"/>
            <wp:docPr id="2116791648"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27"/>
                    <a:srcRect/>
                    <a:stretch>
                      <a:fillRect/>
                    </a:stretch>
                  </pic:blipFill>
                  <pic:spPr>
                    <a:xfrm>
                      <a:off x="0" y="0"/>
                      <a:ext cx="6123305" cy="1144270"/>
                    </a:xfrm>
                    <a:prstGeom prst="rect">
                      <a:avLst/>
                    </a:prstGeom>
                    <a:ln/>
                  </pic:spPr>
                </pic:pic>
              </a:graphicData>
            </a:graphic>
          </wp:inline>
        </w:drawing>
      </w:r>
    </w:p>
    <w:p w14:paraId="3D040E0D" w14:textId="77777777" w:rsidR="00E240FD" w:rsidRPr="008840D2" w:rsidRDefault="00E240FD" w:rsidP="00E240FD">
      <w:pPr>
        <w:pBdr>
          <w:top w:val="nil"/>
          <w:left w:val="nil"/>
          <w:bottom w:val="nil"/>
          <w:right w:val="nil"/>
          <w:between w:val="nil"/>
        </w:pBdr>
        <w:spacing w:line="240" w:lineRule="auto"/>
        <w:rPr>
          <w:color w:val="000000"/>
          <w:szCs w:val="24"/>
          <w:lang w:val="en-US"/>
        </w:rPr>
      </w:pPr>
    </w:p>
    <w:p w14:paraId="000000BD" w14:textId="77777777" w:rsidR="003A1FEB" w:rsidRPr="008840D2" w:rsidRDefault="002844AC">
      <w:pPr>
        <w:pStyle w:val="Heading3"/>
        <w:rPr>
          <w:lang w:val="en-US"/>
        </w:rPr>
      </w:pPr>
      <w:bookmarkStart w:id="33" w:name="_Toc227014996"/>
      <w:r>
        <w:rPr>
          <w:lang w:val="en-US"/>
        </w:rPr>
        <w:t>4.2.3 Natural product–likeness analysis</w:t>
      </w:r>
      <w:bookmarkEnd w:id="33"/>
    </w:p>
    <w:p w14:paraId="4B56A26F" w14:textId="44B57F51" w:rsidR="008D087A" w:rsidRPr="008840D2" w:rsidRDefault="008D087A" w:rsidP="00C95FA7">
      <w:pPr>
        <w:pStyle w:val="BodyText"/>
      </w:pPr>
      <w:r>
        <w:t xml:space="preserve">Analysis of the NP-likeness index distribution revealed clear differences among the categories of VDR ligands in Figure 5. The highest mean NP-score values </w:t>
      </w:r>
      <w:r>
        <w:rPr>
          <w:rStyle w:val="BodyTextChar"/>
        </w:rPr>
        <w:t>were observed for metabolites, at approximately 2.29, reflecting their natural origin. The analogues also showed relatively high mean NP-scores, close to 2.00, although with a broader distribution. Hybrid compounds show an intermediate profile, with a mean NP-score of 1.48, indicating a partial loss of natural-product-like structural features. In contrast, non-</w:t>
      </w:r>
      <w:proofErr w:type="spellStart"/>
      <w:r>
        <w:rPr>
          <w:rStyle w:val="BodyTextChar"/>
        </w:rPr>
        <w:t>secosteroidal</w:t>
      </w:r>
      <w:proofErr w:type="spellEnd"/>
      <w:r>
        <w:rPr>
          <w:rStyle w:val="BodyTextChar"/>
        </w:rPr>
        <w:t xml:space="preserve"> ligands were characterized by the lowest mean</w:t>
      </w:r>
      <w:r>
        <w:t xml:space="preserve"> NP-score, at 0.35 and the greatest variability, suggesting a pronounced deviation from naturally similar chemical patterns.</w:t>
      </w:r>
    </w:p>
    <w:p w14:paraId="2B473261" w14:textId="423B5482" w:rsidR="00AE3CA8" w:rsidRPr="008840D2" w:rsidRDefault="00AE3CA8" w:rsidP="00E240FD">
      <w:pPr>
        <w:pStyle w:val="NoSpacing"/>
        <w:spacing w:line="240" w:lineRule="auto"/>
        <w:jc w:val="center"/>
        <w:rPr>
          <w:lang w:val="en-US"/>
        </w:rPr>
      </w:pPr>
      <w:r>
        <w:rPr>
          <w:noProof/>
          <w:lang w:val="en-US"/>
        </w:rPr>
        <w:lastRenderedPageBreak/>
        <w:drawing>
          <wp:inline distT="0" distB="0" distL="0" distR="0" wp14:anchorId="51046C24" wp14:editId="31B5900C">
            <wp:extent cx="4409369" cy="3126294"/>
            <wp:effectExtent l="0" t="0" r="0" b="0"/>
            <wp:docPr id="2116791647"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28"/>
                    <a:srcRect/>
                    <a:stretch>
                      <a:fillRect/>
                    </a:stretch>
                  </pic:blipFill>
                  <pic:spPr>
                    <a:xfrm>
                      <a:off x="0" y="0"/>
                      <a:ext cx="4409369" cy="3126294"/>
                    </a:xfrm>
                    <a:prstGeom prst="rect">
                      <a:avLst/>
                    </a:prstGeom>
                    <a:ln/>
                  </pic:spPr>
                </pic:pic>
              </a:graphicData>
            </a:graphic>
          </wp:inline>
        </w:drawing>
      </w:r>
    </w:p>
    <w:p w14:paraId="408E985A" w14:textId="3220B186" w:rsidR="00AE3CA8" w:rsidRPr="008840D2" w:rsidRDefault="00AE3CA8" w:rsidP="00E240FD">
      <w:pPr>
        <w:pStyle w:val="NoSpacing"/>
        <w:spacing w:line="240" w:lineRule="auto"/>
        <w:jc w:val="center"/>
        <w:rPr>
          <w:lang w:val="en-US"/>
        </w:rPr>
      </w:pPr>
      <w:r>
        <w:rPr>
          <w:b/>
          <w:bCs/>
          <w:lang w:val="en-US"/>
        </w:rPr>
        <w:t>Figure 5.</w:t>
      </w:r>
      <w:r>
        <w:rPr>
          <w:lang w:val="en-US"/>
        </w:rPr>
        <w:t xml:space="preserve"> Natural product–likeness profiles of VDR ligands.</w:t>
      </w:r>
    </w:p>
    <w:p w14:paraId="4F2802B1" w14:textId="77777777" w:rsidR="004815E1" w:rsidRPr="008840D2" w:rsidRDefault="004815E1" w:rsidP="00AE3CA8">
      <w:pPr>
        <w:pStyle w:val="NoSpacing"/>
        <w:jc w:val="center"/>
        <w:rPr>
          <w:lang w:val="en-US"/>
        </w:rPr>
      </w:pPr>
    </w:p>
    <w:p w14:paraId="2D5FE3A7" w14:textId="41540F67" w:rsidR="004815E1" w:rsidRPr="008840D2" w:rsidRDefault="008D087A" w:rsidP="00C95FA7">
      <w:pPr>
        <w:pStyle w:val="BodyText"/>
      </w:pPr>
      <w:r>
        <w:t>These differences were confirmed by non-parametric statistical analysis. As summarized in Table 4, the Kruskal–</w:t>
      </w:r>
      <w:proofErr w:type="gramStart"/>
      <w:r>
        <w:t>Wallis</w:t>
      </w:r>
      <w:proofErr w:type="gramEnd"/>
      <w:r>
        <w:t xml:space="preserve"> test showed a highly significant difference in NP-score distributions among the four ligand categories, χ</w:t>
      </w:r>
      <w:proofErr w:type="gramStart"/>
      <w:r>
        <w:t>²(</w:t>
      </w:r>
      <w:proofErr w:type="gramEnd"/>
      <w:r>
        <w:t>3) = 128.0, p = 1.17 × 10⁻²⁷, with a moderate effect size 0.131. This result indicates that the observed variation in NP-likeness across structural classes was not random but reflected systematic differences in the degree to which each category retained natural-product-like chemical features.</w:t>
      </w:r>
    </w:p>
    <w:p w14:paraId="7782962B" w14:textId="4CFC21B5" w:rsidR="004815E1" w:rsidRPr="008840D2" w:rsidRDefault="004815E1" w:rsidP="00C95FA7">
      <w:pPr>
        <w:pStyle w:val="BodyText"/>
      </w:pPr>
      <w:r>
        <w:rPr>
          <w:b/>
          <w:bCs/>
        </w:rPr>
        <w:t>Table 4.</w:t>
      </w:r>
      <w:r>
        <w:t xml:space="preserve"> Kruskal–</w:t>
      </w:r>
      <w:proofErr w:type="gramStart"/>
      <w:r>
        <w:t>Wallis</w:t>
      </w:r>
      <w:proofErr w:type="gramEnd"/>
      <w:r>
        <w:t xml:space="preserve"> test for differences in NP-score among structural categories.</w:t>
      </w:r>
    </w:p>
    <w:p w14:paraId="01A18241" w14:textId="50DFC71F" w:rsidR="004815E1" w:rsidRPr="008840D2" w:rsidRDefault="004815E1" w:rsidP="002E6F4C">
      <w:pPr>
        <w:pStyle w:val="NoSpacing"/>
        <w:spacing w:line="240" w:lineRule="auto"/>
        <w:ind w:left="-567"/>
        <w:jc w:val="center"/>
        <w:rPr>
          <w:color w:val="000000"/>
          <w:szCs w:val="24"/>
          <w:lang w:val="en-US"/>
        </w:rPr>
      </w:pPr>
      <w:r>
        <w:rPr>
          <w:noProof/>
          <w:lang w:val="en-US"/>
        </w:rPr>
        <w:drawing>
          <wp:inline distT="0" distB="0" distL="0" distR="0" wp14:anchorId="7B6DCD39" wp14:editId="3E6710B9">
            <wp:extent cx="6123305" cy="559435"/>
            <wp:effectExtent l="0" t="0" r="0" b="0"/>
            <wp:docPr id="40017169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123305" cy="559435"/>
                    </a:xfrm>
                    <a:prstGeom prst="rect">
                      <a:avLst/>
                    </a:prstGeom>
                    <a:noFill/>
                    <a:ln>
                      <a:noFill/>
                    </a:ln>
                  </pic:spPr>
                </pic:pic>
              </a:graphicData>
            </a:graphic>
          </wp:inline>
        </w:drawing>
      </w:r>
    </w:p>
    <w:p w14:paraId="6B96AA43" w14:textId="77777777" w:rsidR="00E240FD" w:rsidRPr="008840D2" w:rsidRDefault="00E240FD" w:rsidP="00E240FD">
      <w:pPr>
        <w:pStyle w:val="NoSpacing"/>
        <w:spacing w:line="240" w:lineRule="auto"/>
        <w:rPr>
          <w:color w:val="000000"/>
          <w:szCs w:val="24"/>
          <w:lang w:val="en-US"/>
        </w:rPr>
      </w:pPr>
    </w:p>
    <w:p w14:paraId="4E9CC8C4" w14:textId="745D8E17" w:rsidR="008D087A" w:rsidRPr="008840D2" w:rsidRDefault="008D087A" w:rsidP="00C95FA7">
      <w:pPr>
        <w:pStyle w:val="BodyText"/>
      </w:pPr>
      <w:r>
        <w:t>Pairwise comparisons further clarified the relationships between the categories. As shown in Table 5, post hoc Dunn’s test demonstrated that all category pairs differed significantly. Metabolites showed significantly higher NP-scores than analogues (p = 1.34 × 10⁻⁴), hybrids (p = 3.29 × 10⁻¹³), and non-</w:t>
      </w:r>
      <w:proofErr w:type="spellStart"/>
      <w:r>
        <w:t>secosteroidal</w:t>
      </w:r>
      <w:proofErr w:type="spellEnd"/>
      <w:r>
        <w:t xml:space="preserve"> ligands (p = 1.70 × 10⁻²¹). Analogues also differed significantly from hybrids (p = 1.56 × 10⁻⁸) and from non-</w:t>
      </w:r>
      <w:proofErr w:type="spellStart"/>
      <w:r>
        <w:t>secosteroidal</w:t>
      </w:r>
      <w:proofErr w:type="spellEnd"/>
      <w:r>
        <w:t xml:space="preserve"> ligands (p = 1.28 × 10⁻¹⁶). Although the difference between hybrids and non-</w:t>
      </w:r>
      <w:proofErr w:type="spellStart"/>
      <w:r>
        <w:t>secosteroidal</w:t>
      </w:r>
      <w:proofErr w:type="spellEnd"/>
      <w:r>
        <w:t xml:space="preserve"> ligands was comparatively smaller, it remained statistically significant (p = 2.13 × 10⁻²), indicating that these two classes also occupy distinct positions along </w:t>
      </w:r>
      <w:r>
        <w:lastRenderedPageBreak/>
        <w:t>the NP-likeness continuum.</w:t>
      </w:r>
    </w:p>
    <w:p w14:paraId="5B513272" w14:textId="563EE64A" w:rsidR="004815E1" w:rsidRPr="008840D2" w:rsidRDefault="008D087A" w:rsidP="00C95FA7">
      <w:pPr>
        <w:pStyle w:val="BodyText"/>
      </w:pPr>
      <w:r>
        <w:t>In general, there is a decrease in NP-likeness from metabolites to non-</w:t>
      </w:r>
      <w:proofErr w:type="spellStart"/>
      <w:r>
        <w:t>secosteroid</w:t>
      </w:r>
      <w:proofErr w:type="spellEnd"/>
      <w:r>
        <w:t xml:space="preserve"> ligands, reflecting an increase in the degree of structural modification and synthetic optimization of compounds.</w:t>
      </w:r>
    </w:p>
    <w:p w14:paraId="284C4DED" w14:textId="7FA5FBAF" w:rsidR="00377EAC" w:rsidRPr="008840D2" w:rsidRDefault="00A4171C" w:rsidP="00C95FA7">
      <w:pPr>
        <w:pStyle w:val="BodyText"/>
      </w:pPr>
      <w:r>
        <w:rPr>
          <w:b/>
          <w:bCs/>
        </w:rPr>
        <w:t>Table 5.</w:t>
      </w:r>
      <w:r>
        <w:t xml:space="preserve"> Dunn’s post hoc pairwise comparisons of NP-score among structural categories following the Kruskal–</w:t>
      </w:r>
      <w:proofErr w:type="gramStart"/>
      <w:r>
        <w:t>Wallis</w:t>
      </w:r>
      <w:proofErr w:type="gramEnd"/>
      <w:r>
        <w:t xml:space="preserve"> test.</w:t>
      </w:r>
    </w:p>
    <w:p w14:paraId="294F8729" w14:textId="702D5F31" w:rsidR="00AE3CA8" w:rsidRPr="008840D2" w:rsidRDefault="00AE3CA8" w:rsidP="002E6F4C">
      <w:pPr>
        <w:pStyle w:val="NoSpacing"/>
        <w:ind w:left="-567"/>
        <w:rPr>
          <w:color w:val="000000"/>
          <w:szCs w:val="24"/>
          <w:lang w:val="en-US"/>
        </w:rPr>
      </w:pPr>
      <w:r>
        <w:rPr>
          <w:noProof/>
          <w:lang w:val="en-US"/>
        </w:rPr>
        <w:drawing>
          <wp:inline distT="0" distB="0" distL="0" distR="0" wp14:anchorId="60784F99" wp14:editId="38A9A406">
            <wp:extent cx="6123305" cy="1407160"/>
            <wp:effectExtent l="0" t="0" r="0" b="2540"/>
            <wp:docPr id="127566848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123305" cy="1407160"/>
                    </a:xfrm>
                    <a:prstGeom prst="rect">
                      <a:avLst/>
                    </a:prstGeom>
                    <a:noFill/>
                    <a:ln>
                      <a:noFill/>
                    </a:ln>
                  </pic:spPr>
                </pic:pic>
              </a:graphicData>
            </a:graphic>
          </wp:inline>
        </w:drawing>
      </w:r>
    </w:p>
    <w:p w14:paraId="000000C4" w14:textId="77777777" w:rsidR="003A1FEB" w:rsidRPr="008840D2" w:rsidRDefault="003A1FEB" w:rsidP="004815E1">
      <w:pPr>
        <w:pBdr>
          <w:top w:val="nil"/>
          <w:left w:val="nil"/>
          <w:bottom w:val="nil"/>
          <w:right w:val="nil"/>
          <w:between w:val="nil"/>
        </w:pBdr>
        <w:ind w:right="445"/>
        <w:rPr>
          <w:color w:val="000000"/>
          <w:szCs w:val="24"/>
          <w:lang w:val="en-US"/>
        </w:rPr>
      </w:pPr>
    </w:p>
    <w:p w14:paraId="000000C5" w14:textId="77777777" w:rsidR="003A1FEB" w:rsidRPr="008840D2" w:rsidRDefault="002844AC">
      <w:pPr>
        <w:pStyle w:val="Heading2"/>
        <w:rPr>
          <w:lang w:val="en-US"/>
        </w:rPr>
      </w:pPr>
      <w:bookmarkStart w:id="34" w:name="_Toc227014997"/>
      <w:r>
        <w:rPr>
          <w:lang w:val="en-US"/>
        </w:rPr>
        <w:t>4.3. Similarity, clustering, and chemical space organization of VDR ligands</w:t>
      </w:r>
      <w:bookmarkEnd w:id="34"/>
    </w:p>
    <w:p w14:paraId="000000C6" w14:textId="77777777" w:rsidR="003A1FEB" w:rsidRPr="008840D2" w:rsidRDefault="002844AC">
      <w:pPr>
        <w:pStyle w:val="Heading3"/>
        <w:rPr>
          <w:lang w:val="en-US"/>
        </w:rPr>
      </w:pPr>
      <w:bookmarkStart w:id="35" w:name="_Toc227014998"/>
      <w:r>
        <w:rPr>
          <w:lang w:val="en-US"/>
        </w:rPr>
        <w:t>4.3.1 Fingerprint-based similarity analysis</w:t>
      </w:r>
      <w:bookmarkEnd w:id="35"/>
    </w:p>
    <w:p w14:paraId="000000C7" w14:textId="0DAD73A4" w:rsidR="003A1FEB" w:rsidRPr="008840D2" w:rsidRDefault="002844AC" w:rsidP="00C95FA7">
      <w:pPr>
        <w:pStyle w:val="BodyText"/>
      </w:pPr>
      <w:r>
        <w:t xml:space="preserve">Pairwise Tanimoto similarity values showed that the degree of structural similarity within the VDR ligand dataset depended strongly on the fingerprint type used. In Table 6 the highest mean and median similarity values were obtained for </w:t>
      </w:r>
      <w:proofErr w:type="spellStart"/>
      <w:r>
        <w:t>RDKit</w:t>
      </w:r>
      <w:proofErr w:type="spellEnd"/>
      <w:r>
        <w:t xml:space="preserve"> topological fingerprints, indicating greater overall topological relatedness of the compounds under this representation. Atom pair fingerprints also yielded relatively high similarity values, whereas ECFP4 and especially ECFP6 were characterized by lower mean and median values.</w:t>
      </w:r>
    </w:p>
    <w:p w14:paraId="000000C8" w14:textId="77777777" w:rsidR="003A1FEB" w:rsidRPr="008840D2" w:rsidRDefault="002844AC" w:rsidP="00C95FA7">
      <w:pPr>
        <w:pStyle w:val="BodyText"/>
      </w:pPr>
      <w:r>
        <w:t xml:space="preserve">The largest proportion of highly similar pairs, with Tanimoto similarity of at least 0.70 and at least 0.85, was observed for </w:t>
      </w:r>
      <w:proofErr w:type="spellStart"/>
      <w:r>
        <w:t>RDKit</w:t>
      </w:r>
      <w:proofErr w:type="spellEnd"/>
      <w:r>
        <w:t xml:space="preserve"> topological fingerprints. For atom pair fingerprints, this proportion was noticeably lower, while for ECFP4 and ECFP6 it remained minimal. In contrast, the highest proportion of weakly similar pairs, with Tanimoto similarity not exceeding 0.30, was identified for ECFP6, followed by ECFP4, reflecting the greater sensitivity of circular fingerprints to local structural differences.</w:t>
      </w:r>
    </w:p>
    <w:p w14:paraId="0BD426D2" w14:textId="77777777" w:rsidR="004815E1" w:rsidRPr="008840D2" w:rsidRDefault="002844AC" w:rsidP="00C95FA7">
      <w:pPr>
        <w:pStyle w:val="BodyText"/>
      </w:pPr>
      <w:r>
        <w:t xml:space="preserve">Overall, </w:t>
      </w:r>
      <w:proofErr w:type="spellStart"/>
      <w:r>
        <w:t>RDKit</w:t>
      </w:r>
      <w:proofErr w:type="spellEnd"/>
      <w:r>
        <w:t xml:space="preserve"> topological fingerprints and atom pair fingerprints described the dataset as more compact in terms of chemical similarity, whereas ECFP-based representations revealed a more pronounced structural heterogeneity among VDR ligands.</w:t>
      </w:r>
    </w:p>
    <w:p w14:paraId="000000CB" w14:textId="0ED7E761" w:rsidR="003A1FEB" w:rsidRPr="008840D2" w:rsidRDefault="002844AC" w:rsidP="00C95FA7">
      <w:pPr>
        <w:pStyle w:val="BodyText"/>
      </w:pPr>
      <w:r>
        <w:rPr>
          <w:b/>
          <w:bCs/>
        </w:rPr>
        <w:lastRenderedPageBreak/>
        <w:t>Table 6.</w:t>
      </w:r>
      <w:r>
        <w:t xml:space="preserve"> Pairwise Tanimoto similarity statistics for the VDR ligand dataset across different fingerprint representations.</w:t>
      </w:r>
    </w:p>
    <w:p w14:paraId="000000CC" w14:textId="77777777" w:rsidR="003A1FEB" w:rsidRPr="008840D2" w:rsidRDefault="002844AC" w:rsidP="002E6F4C">
      <w:pPr>
        <w:pBdr>
          <w:top w:val="nil"/>
          <w:left w:val="nil"/>
          <w:bottom w:val="nil"/>
          <w:right w:val="nil"/>
          <w:between w:val="nil"/>
        </w:pBdr>
        <w:spacing w:line="240" w:lineRule="auto"/>
        <w:ind w:left="-567"/>
        <w:jc w:val="center"/>
        <w:rPr>
          <w:color w:val="000000"/>
          <w:szCs w:val="24"/>
          <w:lang w:val="en-US"/>
        </w:rPr>
      </w:pPr>
      <w:r>
        <w:rPr>
          <w:noProof/>
          <w:color w:val="000000"/>
          <w:szCs w:val="24"/>
          <w:lang w:val="en-US"/>
        </w:rPr>
        <w:drawing>
          <wp:inline distT="0" distB="0" distL="0" distR="0" wp14:anchorId="075C25B3" wp14:editId="751F0164">
            <wp:extent cx="6123305" cy="810260"/>
            <wp:effectExtent l="0" t="0" r="0" b="0"/>
            <wp:docPr id="2116791652"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31"/>
                    <a:srcRect/>
                    <a:stretch>
                      <a:fillRect/>
                    </a:stretch>
                  </pic:blipFill>
                  <pic:spPr>
                    <a:xfrm>
                      <a:off x="0" y="0"/>
                      <a:ext cx="6123305" cy="810260"/>
                    </a:xfrm>
                    <a:prstGeom prst="rect">
                      <a:avLst/>
                    </a:prstGeom>
                    <a:ln/>
                  </pic:spPr>
                </pic:pic>
              </a:graphicData>
            </a:graphic>
          </wp:inline>
        </w:drawing>
      </w:r>
    </w:p>
    <w:p w14:paraId="000000CD" w14:textId="77777777" w:rsidR="003A1FEB" w:rsidRPr="008840D2" w:rsidRDefault="003A1FEB">
      <w:pPr>
        <w:pBdr>
          <w:top w:val="nil"/>
          <w:left w:val="nil"/>
          <w:bottom w:val="nil"/>
          <w:right w:val="nil"/>
          <w:between w:val="nil"/>
        </w:pBdr>
        <w:jc w:val="center"/>
        <w:rPr>
          <w:color w:val="000000"/>
          <w:szCs w:val="24"/>
          <w:lang w:val="en-US"/>
        </w:rPr>
      </w:pPr>
    </w:p>
    <w:p w14:paraId="000000CE" w14:textId="77777777" w:rsidR="003A1FEB" w:rsidRPr="008840D2" w:rsidRDefault="002844AC">
      <w:pPr>
        <w:pStyle w:val="Heading3"/>
        <w:rPr>
          <w:lang w:val="en-US"/>
        </w:rPr>
      </w:pPr>
      <w:bookmarkStart w:id="36" w:name="_Toc227014999"/>
      <w:r>
        <w:rPr>
          <w:lang w:val="en-US"/>
        </w:rPr>
        <w:t>4.3.2 Clustering patterns of VDR ligands</w:t>
      </w:r>
      <w:bookmarkEnd w:id="36"/>
    </w:p>
    <w:p w14:paraId="3961567C" w14:textId="6C96F999" w:rsidR="009D3A3E" w:rsidRDefault="002844AC" w:rsidP="00C95FA7">
      <w:pPr>
        <w:pStyle w:val="BodyText"/>
        <w:rPr>
          <w:lang w:val="ru-RU"/>
        </w:rPr>
      </w:pPr>
      <w:r>
        <w:rPr>
          <w:rStyle w:val="BodyTextChar"/>
        </w:rPr>
        <w:t xml:space="preserve">The analysis of intra-category distances (Table 7) revealed that the degree of structural compactness strongly depends on the type of fingerprint used. The lowest distance values were observed for metabolites, particularly with </w:t>
      </w:r>
      <w:proofErr w:type="spellStart"/>
      <w:r>
        <w:rPr>
          <w:rStyle w:val="BodyTextChar"/>
        </w:rPr>
        <w:t>RDKit</w:t>
      </w:r>
      <w:proofErr w:type="spellEnd"/>
      <w:r>
        <w:rPr>
          <w:rStyle w:val="BodyTextChar"/>
        </w:rPr>
        <w:t xml:space="preserve"> topological fingerprints, indicating their high structural homogeneity. In contrast, non-</w:t>
      </w:r>
      <w:proofErr w:type="spellStart"/>
      <w:r>
        <w:rPr>
          <w:rStyle w:val="BodyTextChar"/>
        </w:rPr>
        <w:t>secosteroidal</w:t>
      </w:r>
      <w:proofErr w:type="spellEnd"/>
      <w:r>
        <w:rPr>
          <w:rStyle w:val="BodyTextChar"/>
        </w:rPr>
        <w:t xml:space="preserve"> ligands exhibited the highest distance values across all fingerprint representations, reflecting pronounced structural heterogeneity</w:t>
      </w:r>
      <w:r>
        <w:t>. Analogs and hybrids occupied an intermediate position.</w:t>
      </w:r>
    </w:p>
    <w:p w14:paraId="2EB0EE3F" w14:textId="77777777" w:rsidR="00FE4CCE" w:rsidRDefault="00FE4CCE" w:rsidP="00C95FA7">
      <w:pPr>
        <w:pStyle w:val="BodyText"/>
        <w:rPr>
          <w:lang w:val="ru-RU"/>
        </w:rPr>
      </w:pPr>
    </w:p>
    <w:p w14:paraId="000000D1" w14:textId="726A818D" w:rsidR="003A1FEB" w:rsidRPr="008840D2" w:rsidRDefault="002844AC" w:rsidP="00C95FA7">
      <w:pPr>
        <w:pStyle w:val="BodyText"/>
      </w:pPr>
      <w:r>
        <w:rPr>
          <w:b/>
          <w:bCs/>
        </w:rPr>
        <w:t>Table 7.</w:t>
      </w:r>
      <w:r>
        <w:t xml:space="preserve"> Intra-category structural compactness based on Tanimoto distance across fingerprint representations.</w:t>
      </w:r>
    </w:p>
    <w:p w14:paraId="000000D2" w14:textId="77777777" w:rsidR="003A1FEB" w:rsidRPr="008840D2" w:rsidRDefault="002844AC" w:rsidP="00E240FD">
      <w:pPr>
        <w:pBdr>
          <w:top w:val="nil"/>
          <w:left w:val="nil"/>
          <w:bottom w:val="nil"/>
          <w:right w:val="nil"/>
          <w:between w:val="nil"/>
        </w:pBdr>
        <w:jc w:val="center"/>
        <w:rPr>
          <w:color w:val="000000"/>
          <w:szCs w:val="24"/>
          <w:lang w:val="en-US"/>
        </w:rPr>
      </w:pPr>
      <w:r>
        <w:rPr>
          <w:noProof/>
          <w:color w:val="000000"/>
          <w:szCs w:val="24"/>
          <w:lang w:val="en-US"/>
        </w:rPr>
        <w:drawing>
          <wp:inline distT="0" distB="0" distL="0" distR="0" wp14:anchorId="41855077" wp14:editId="326CB7E1">
            <wp:extent cx="3896840" cy="2489586"/>
            <wp:effectExtent l="0" t="0" r="0" b="0"/>
            <wp:docPr id="2116791649"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32"/>
                    <a:srcRect/>
                    <a:stretch>
                      <a:fillRect/>
                    </a:stretch>
                  </pic:blipFill>
                  <pic:spPr>
                    <a:xfrm>
                      <a:off x="0" y="0"/>
                      <a:ext cx="3896840" cy="2489586"/>
                    </a:xfrm>
                    <a:prstGeom prst="rect">
                      <a:avLst/>
                    </a:prstGeom>
                    <a:ln/>
                  </pic:spPr>
                </pic:pic>
              </a:graphicData>
            </a:graphic>
          </wp:inline>
        </w:drawing>
      </w:r>
    </w:p>
    <w:p w14:paraId="46B8AD33" w14:textId="77777777" w:rsidR="00E240FD" w:rsidRPr="008840D2" w:rsidRDefault="00E240FD" w:rsidP="00E240FD">
      <w:pPr>
        <w:pBdr>
          <w:top w:val="nil"/>
          <w:left w:val="nil"/>
          <w:bottom w:val="nil"/>
          <w:right w:val="nil"/>
          <w:between w:val="nil"/>
        </w:pBdr>
        <w:spacing w:line="240" w:lineRule="auto"/>
        <w:jc w:val="center"/>
        <w:rPr>
          <w:color w:val="000000"/>
          <w:szCs w:val="24"/>
          <w:lang w:val="en-US"/>
        </w:rPr>
      </w:pPr>
    </w:p>
    <w:p w14:paraId="643551FB" w14:textId="77777777" w:rsidR="009D3A3E" w:rsidRPr="008840D2" w:rsidRDefault="002844AC" w:rsidP="00C95FA7">
      <w:pPr>
        <w:pStyle w:val="BodyText"/>
      </w:pPr>
      <w:r>
        <w:t xml:space="preserve">The results of clustering (Table 8) demonstrated that increasing the similarity threshold leads to a higher number of clusters and an increased number of singletons, while simultaneously reducing the size of the largest cluster. The highest purity values were observed at higher similarity thresholds. However, this was accompanied by a decrease in agreement between clusters and the original categorization, as evidenced by </w:t>
      </w:r>
      <w:r>
        <w:lastRenderedPageBreak/>
        <w:t>consistently low ARI and NMI values across all fingerprint types. In addition, the silhouette scores remained uniformly low (0.085–0.479), indicating poor internal cluster separation even under the best-performing conditions.</w:t>
      </w:r>
    </w:p>
    <w:p w14:paraId="301C0855" w14:textId="77777777" w:rsidR="004815E1" w:rsidRPr="008840D2" w:rsidRDefault="002844AC" w:rsidP="00C95FA7">
      <w:pPr>
        <w:pStyle w:val="BodyText"/>
      </w:pPr>
      <w:r>
        <w:t xml:space="preserve">Among the evaluated representations, </w:t>
      </w:r>
      <w:proofErr w:type="spellStart"/>
      <w:r>
        <w:t>RDKit</w:t>
      </w:r>
      <w:proofErr w:type="spellEnd"/>
      <w:r>
        <w:t xml:space="preserve"> topological and Atom pair fingerprints provided the most effective separation of chemical space, whereas ECFP-based representations resulted in a larger number of small and fragmented clusters. Overall, the clustering analysis revealed substantial structural heterogeneity within the VDR ligand dataset and a limited correspondence between structural clusters and the predefined ligand categories.</w:t>
      </w:r>
    </w:p>
    <w:p w14:paraId="000000D7" w14:textId="3EE8A7B1" w:rsidR="003A1FEB" w:rsidRPr="008840D2" w:rsidRDefault="002844AC" w:rsidP="00C95FA7">
      <w:pPr>
        <w:pStyle w:val="BodyText"/>
      </w:pPr>
      <w:r>
        <w:rPr>
          <w:b/>
          <w:bCs/>
        </w:rPr>
        <w:t>Table 8.</w:t>
      </w:r>
      <w:r>
        <w:t xml:space="preserve"> Clustering performance metrics for VDR ligands across fingerprint types and similarity thresholds.</w:t>
      </w:r>
    </w:p>
    <w:p w14:paraId="5858AC25" w14:textId="4E5CFF90" w:rsidR="004815E1" w:rsidRPr="008840D2" w:rsidRDefault="004815E1" w:rsidP="002E6F4C">
      <w:pPr>
        <w:pBdr>
          <w:top w:val="nil"/>
          <w:left w:val="nil"/>
          <w:bottom w:val="nil"/>
          <w:right w:val="nil"/>
          <w:between w:val="nil"/>
        </w:pBdr>
        <w:ind w:left="-426"/>
        <w:rPr>
          <w:color w:val="000000"/>
          <w:szCs w:val="24"/>
          <w:lang w:val="en-US"/>
        </w:rPr>
      </w:pPr>
      <w:r>
        <w:rPr>
          <w:noProof/>
          <w:lang w:val="en-US"/>
        </w:rPr>
        <w:drawing>
          <wp:inline distT="0" distB="0" distL="0" distR="0" wp14:anchorId="285E2FB0" wp14:editId="310FA8F0">
            <wp:extent cx="6123305" cy="1259205"/>
            <wp:effectExtent l="0" t="0" r="0" b="0"/>
            <wp:docPr id="46819838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167092" cy="1268209"/>
                    </a:xfrm>
                    <a:prstGeom prst="rect">
                      <a:avLst/>
                    </a:prstGeom>
                    <a:noFill/>
                    <a:ln>
                      <a:noFill/>
                    </a:ln>
                  </pic:spPr>
                </pic:pic>
              </a:graphicData>
            </a:graphic>
          </wp:inline>
        </w:drawing>
      </w:r>
    </w:p>
    <w:p w14:paraId="000000D8" w14:textId="77777777" w:rsidR="003A1FEB" w:rsidRPr="008840D2" w:rsidRDefault="003A1FEB">
      <w:pPr>
        <w:pBdr>
          <w:top w:val="nil"/>
          <w:left w:val="nil"/>
          <w:bottom w:val="nil"/>
          <w:right w:val="nil"/>
          <w:between w:val="nil"/>
        </w:pBdr>
        <w:ind w:right="445"/>
        <w:rPr>
          <w:color w:val="000000"/>
          <w:szCs w:val="24"/>
          <w:lang w:val="en-US"/>
        </w:rPr>
      </w:pPr>
    </w:p>
    <w:p w14:paraId="000000D9" w14:textId="77777777" w:rsidR="003A1FEB" w:rsidRPr="008840D2" w:rsidRDefault="002844AC">
      <w:pPr>
        <w:pStyle w:val="Heading3"/>
        <w:rPr>
          <w:lang w:val="en-US"/>
        </w:rPr>
      </w:pPr>
      <w:bookmarkStart w:id="37" w:name="_Toc227015000"/>
      <w:r>
        <w:rPr>
          <w:lang w:val="en-US"/>
        </w:rPr>
        <w:t>4.3.3 Visualization of chemical space</w:t>
      </w:r>
      <w:bookmarkEnd w:id="37"/>
    </w:p>
    <w:p w14:paraId="000000DA" w14:textId="77777777" w:rsidR="003A1FEB" w:rsidRPr="008840D2" w:rsidRDefault="002844AC" w:rsidP="00C95FA7">
      <w:pPr>
        <w:pStyle w:val="BodyText"/>
      </w:pPr>
      <w:r>
        <w:t>In Figure 6, t-SNE visualization revealed fingerprint-dependent differences in category separation. ECFP4 showed the clearest cluster structure, with non-</w:t>
      </w:r>
      <w:proofErr w:type="spellStart"/>
      <w:r>
        <w:t>secosteroidal</w:t>
      </w:r>
      <w:proofErr w:type="spellEnd"/>
      <w:r>
        <w:t xml:space="preserve"> ligands forming a fully isolated group and hybrids appearing in several partly separated subgroups, while metabolites were largely embedded within the analog clusters. ECFP6 produced a similar but more fragmented pattern, with a greater number of small and dispersed subgroups. </w:t>
      </w:r>
    </w:p>
    <w:p w14:paraId="000000DB" w14:textId="77777777" w:rsidR="003A1FEB" w:rsidRPr="008840D2" w:rsidRDefault="002844AC" w:rsidP="00C95FA7">
      <w:pPr>
        <w:pStyle w:val="BodyText"/>
      </w:pPr>
      <w:r>
        <w:t xml:space="preserve">In the </w:t>
      </w:r>
      <w:proofErr w:type="spellStart"/>
      <w:r>
        <w:t>AtomPair</w:t>
      </w:r>
      <w:proofErr w:type="spellEnd"/>
      <w:r>
        <w:t xml:space="preserve"> projection, analogs formed a denser central cluster, whereas hybrids and non-</w:t>
      </w:r>
      <w:proofErr w:type="spellStart"/>
      <w:r>
        <w:t>secosteroidal</w:t>
      </w:r>
      <w:proofErr w:type="spellEnd"/>
      <w:r>
        <w:t xml:space="preserve"> ligands remained relatively well separated. In contrast, the </w:t>
      </w:r>
      <w:proofErr w:type="spellStart"/>
      <w:r>
        <w:t>RDKit</w:t>
      </w:r>
      <w:proofErr w:type="spellEnd"/>
      <w:r>
        <w:t xml:space="preserve"> topological projection showed the weakest category separation, with substantial mixing of analogs, metabolites, and hybrids, although non-</w:t>
      </w:r>
      <w:proofErr w:type="spellStart"/>
      <w:r>
        <w:t>secosteroidal</w:t>
      </w:r>
      <w:proofErr w:type="spellEnd"/>
      <w:r>
        <w:t xml:space="preserve"> ligands still tended to occupy a distinct region.</w:t>
      </w:r>
    </w:p>
    <w:p w14:paraId="7E3020F3" w14:textId="176CF8B9" w:rsidR="00C31BEC" w:rsidRPr="008840D2" w:rsidRDefault="002844AC" w:rsidP="00C95FA7">
      <w:pPr>
        <w:pStyle w:val="BodyText"/>
      </w:pPr>
      <w:r>
        <w:t>UMAP (Figure 7) largely confirmed the t-SNE patterns but produced more compact and discrete groupings. ECFP4 again showed the clearest separation, with well-defined analog subgroups, an isolated non-</w:t>
      </w:r>
      <w:proofErr w:type="spellStart"/>
      <w:r>
        <w:t>secosteroidal</w:t>
      </w:r>
      <w:proofErr w:type="spellEnd"/>
      <w:r>
        <w:t xml:space="preserve"> cluster, and a distinct hybrid </w:t>
      </w:r>
      <w:r>
        <w:lastRenderedPageBreak/>
        <w:t xml:space="preserve">cluster. ECFP6 displayed a more fragmented organization with smaller and more distant analog clusters. </w:t>
      </w:r>
      <w:proofErr w:type="spellStart"/>
      <w:r>
        <w:t>AtomPair</w:t>
      </w:r>
      <w:proofErr w:type="spellEnd"/>
      <w:r>
        <w:t xml:space="preserve"> resulted in elongated clusters distributed diagonally across </w:t>
      </w:r>
      <w:proofErr w:type="gramStart"/>
      <w:r>
        <w:t>the space</w:t>
      </w:r>
      <w:proofErr w:type="gramEnd"/>
      <w:r>
        <w:t>, with non-</w:t>
      </w:r>
      <w:proofErr w:type="spellStart"/>
      <w:r>
        <w:t>secosteroidal</w:t>
      </w:r>
      <w:proofErr w:type="spellEnd"/>
      <w:r>
        <w:t xml:space="preserve"> ligands remaining clearly isolated. </w:t>
      </w:r>
      <w:proofErr w:type="spellStart"/>
      <w:r>
        <w:t>RDKit</w:t>
      </w:r>
      <w:proofErr w:type="spellEnd"/>
      <w:r>
        <w:t xml:space="preserve"> topological fingerprints produced the least structured projection, with broad scattering of compounds and strong overlap between categories.</w:t>
      </w:r>
    </w:p>
    <w:p w14:paraId="5DF5E6E4" w14:textId="77777777" w:rsidR="002E6F4C" w:rsidRPr="008840D2" w:rsidRDefault="00C31BEC" w:rsidP="002E6F4C">
      <w:pPr>
        <w:pBdr>
          <w:top w:val="nil"/>
          <w:left w:val="nil"/>
          <w:bottom w:val="nil"/>
          <w:right w:val="nil"/>
          <w:between w:val="nil"/>
        </w:pBdr>
        <w:ind w:left="-567" w:right="-564"/>
        <w:jc w:val="left"/>
        <w:rPr>
          <w:color w:val="000000"/>
          <w:szCs w:val="24"/>
          <w:lang w:val="en-US"/>
        </w:rPr>
      </w:pPr>
      <w:r>
        <w:rPr>
          <w:color w:val="000000"/>
          <w:szCs w:val="24"/>
          <w:lang w:val="en-US"/>
        </w:rPr>
        <w:t>a)</w:t>
      </w:r>
      <w:r>
        <w:rPr>
          <w:noProof/>
          <w:lang w:val="en-US"/>
        </w:rPr>
        <w:drawing>
          <wp:inline distT="0" distB="0" distL="0" distR="0" wp14:anchorId="0259DF6D" wp14:editId="6D813256">
            <wp:extent cx="2857118" cy="2448000"/>
            <wp:effectExtent l="0" t="0" r="635" b="0"/>
            <wp:docPr id="1634458932"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34" cstate="print">
                      <a:extLst>
                        <a:ext uri="{28A0092B-C50C-407E-A947-70E740481C1C}">
                          <a14:useLocalDpi xmlns:a14="http://schemas.microsoft.com/office/drawing/2010/main" val="0"/>
                        </a:ext>
                      </a:extLst>
                    </a:blip>
                    <a:srcRect/>
                    <a:stretch>
                      <a:fillRect/>
                    </a:stretch>
                  </pic:blipFill>
                  <pic:spPr>
                    <a:xfrm>
                      <a:off x="0" y="0"/>
                      <a:ext cx="2857118" cy="2448000"/>
                    </a:xfrm>
                    <a:prstGeom prst="rect">
                      <a:avLst/>
                    </a:prstGeom>
                    <a:ln/>
                  </pic:spPr>
                </pic:pic>
              </a:graphicData>
            </a:graphic>
          </wp:inline>
        </w:drawing>
      </w:r>
      <w:r>
        <w:rPr>
          <w:color w:val="000000"/>
          <w:szCs w:val="24"/>
          <w:lang w:val="en-US"/>
        </w:rPr>
        <w:t>b)</w:t>
      </w:r>
      <w:r>
        <w:rPr>
          <w:noProof/>
          <w:lang w:val="en-US"/>
        </w:rPr>
        <w:drawing>
          <wp:inline distT="0" distB="0" distL="0" distR="0" wp14:anchorId="0ACC035D" wp14:editId="61B4BB45">
            <wp:extent cx="2858400" cy="2448000"/>
            <wp:effectExtent l="0" t="0" r="0" b="0"/>
            <wp:docPr id="2069198699"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png"/>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2858400" cy="2448000"/>
                    </a:xfrm>
                    <a:prstGeom prst="rect">
                      <a:avLst/>
                    </a:prstGeom>
                    <a:ln/>
                  </pic:spPr>
                </pic:pic>
              </a:graphicData>
            </a:graphic>
          </wp:inline>
        </w:drawing>
      </w:r>
    </w:p>
    <w:p w14:paraId="226DF445" w14:textId="6E26B4E0" w:rsidR="00C31BEC" w:rsidRPr="008840D2" w:rsidRDefault="00C31BEC" w:rsidP="002E6F4C">
      <w:pPr>
        <w:pBdr>
          <w:top w:val="nil"/>
          <w:left w:val="nil"/>
          <w:bottom w:val="nil"/>
          <w:right w:val="nil"/>
          <w:between w:val="nil"/>
        </w:pBdr>
        <w:ind w:left="-567" w:right="-564"/>
        <w:jc w:val="left"/>
        <w:rPr>
          <w:color w:val="000000"/>
          <w:szCs w:val="24"/>
          <w:lang w:val="en-US"/>
        </w:rPr>
      </w:pPr>
      <w:r>
        <w:rPr>
          <w:color w:val="000000"/>
          <w:szCs w:val="24"/>
          <w:lang w:val="en-US"/>
        </w:rPr>
        <w:t>c)</w:t>
      </w:r>
      <w:r>
        <w:rPr>
          <w:noProof/>
          <w:lang w:val="en-US"/>
        </w:rPr>
        <w:drawing>
          <wp:inline distT="0" distB="0" distL="0" distR="0" wp14:anchorId="4A50C207" wp14:editId="1779C131">
            <wp:extent cx="2880000" cy="2467564"/>
            <wp:effectExtent l="0" t="0" r="0" b="9525"/>
            <wp:docPr id="99471726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880000" cy="2467564"/>
                    </a:xfrm>
                    <a:prstGeom prst="rect">
                      <a:avLst/>
                    </a:prstGeom>
                    <a:noFill/>
                    <a:ln>
                      <a:noFill/>
                    </a:ln>
                  </pic:spPr>
                </pic:pic>
              </a:graphicData>
            </a:graphic>
          </wp:inline>
        </w:drawing>
      </w:r>
      <w:r>
        <w:rPr>
          <w:color w:val="000000"/>
          <w:szCs w:val="24"/>
          <w:lang w:val="en-US"/>
        </w:rPr>
        <w:t>d)</w:t>
      </w:r>
      <w:r>
        <w:rPr>
          <w:noProof/>
          <w:lang w:val="en-US"/>
        </w:rPr>
        <w:drawing>
          <wp:inline distT="0" distB="0" distL="0" distR="0" wp14:anchorId="00168EF8" wp14:editId="66E5C314">
            <wp:extent cx="2880000" cy="2468304"/>
            <wp:effectExtent l="0" t="0" r="0" b="8255"/>
            <wp:docPr id="134597629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880000" cy="2468304"/>
                    </a:xfrm>
                    <a:prstGeom prst="rect">
                      <a:avLst/>
                    </a:prstGeom>
                    <a:noFill/>
                    <a:ln>
                      <a:noFill/>
                    </a:ln>
                  </pic:spPr>
                </pic:pic>
              </a:graphicData>
            </a:graphic>
          </wp:inline>
        </w:drawing>
      </w:r>
    </w:p>
    <w:p w14:paraId="000000E4" w14:textId="76E3F654" w:rsidR="003A1FEB" w:rsidRPr="008840D2" w:rsidRDefault="002844AC">
      <w:pPr>
        <w:pBdr>
          <w:top w:val="nil"/>
          <w:left w:val="nil"/>
          <w:bottom w:val="nil"/>
          <w:right w:val="nil"/>
          <w:between w:val="nil"/>
        </w:pBdr>
        <w:jc w:val="center"/>
        <w:rPr>
          <w:color w:val="000000"/>
          <w:szCs w:val="24"/>
          <w:lang w:val="en-US"/>
        </w:rPr>
      </w:pPr>
      <w:r>
        <w:rPr>
          <w:b/>
          <w:bCs/>
          <w:color w:val="000000"/>
          <w:szCs w:val="24"/>
          <w:lang w:val="en-US"/>
        </w:rPr>
        <w:t>Figure 6</w:t>
      </w:r>
      <w:r>
        <w:rPr>
          <w:color w:val="000000"/>
          <w:szCs w:val="24"/>
          <w:lang w:val="en-US"/>
        </w:rPr>
        <w:t xml:space="preserve">. t-SNE projections of the chemical space of the VDR ligand library colored by category for four molecular fingerprint types: (a) ECFP4, (b) ECFP6, (c) </w:t>
      </w:r>
      <w:proofErr w:type="spellStart"/>
      <w:r>
        <w:rPr>
          <w:color w:val="000000"/>
          <w:szCs w:val="24"/>
          <w:lang w:val="en-US"/>
        </w:rPr>
        <w:t>AtomPair</w:t>
      </w:r>
      <w:proofErr w:type="spellEnd"/>
      <w:r>
        <w:rPr>
          <w:color w:val="000000"/>
          <w:szCs w:val="24"/>
          <w:lang w:val="en-US"/>
        </w:rPr>
        <w:t xml:space="preserve">, and (d) </w:t>
      </w:r>
      <w:proofErr w:type="spellStart"/>
      <w:r>
        <w:rPr>
          <w:color w:val="000000"/>
          <w:szCs w:val="24"/>
          <w:lang w:val="en-US"/>
        </w:rPr>
        <w:t>RDKit</w:t>
      </w:r>
      <w:proofErr w:type="spellEnd"/>
      <w:r>
        <w:rPr>
          <w:color w:val="000000"/>
          <w:szCs w:val="24"/>
          <w:lang w:val="en-US"/>
        </w:rPr>
        <w:t xml:space="preserve"> topological.</w:t>
      </w:r>
    </w:p>
    <w:p w14:paraId="5497FB68" w14:textId="77777777" w:rsidR="00C31BEC" w:rsidRPr="008840D2" w:rsidRDefault="00C31BEC">
      <w:pPr>
        <w:pBdr>
          <w:top w:val="nil"/>
          <w:left w:val="nil"/>
          <w:bottom w:val="nil"/>
          <w:right w:val="nil"/>
          <w:between w:val="nil"/>
        </w:pBdr>
        <w:jc w:val="center"/>
        <w:rPr>
          <w:color w:val="000000"/>
          <w:szCs w:val="24"/>
          <w:lang w:val="en-US"/>
        </w:rPr>
      </w:pPr>
    </w:p>
    <w:p w14:paraId="10345736" w14:textId="77777777" w:rsidR="002E6F4C" w:rsidRPr="008840D2" w:rsidRDefault="00C31BEC" w:rsidP="002E6F4C">
      <w:pPr>
        <w:pBdr>
          <w:top w:val="nil"/>
          <w:left w:val="nil"/>
          <w:bottom w:val="nil"/>
          <w:right w:val="nil"/>
          <w:between w:val="nil"/>
        </w:pBdr>
        <w:ind w:left="-709" w:right="-848"/>
        <w:jc w:val="center"/>
        <w:rPr>
          <w:color w:val="000000"/>
          <w:szCs w:val="24"/>
          <w:lang w:val="en-US"/>
        </w:rPr>
      </w:pPr>
      <w:r>
        <w:rPr>
          <w:color w:val="000000"/>
          <w:szCs w:val="24"/>
          <w:lang w:val="en-US"/>
        </w:rPr>
        <w:lastRenderedPageBreak/>
        <w:t>a)</w:t>
      </w:r>
      <w:r>
        <w:rPr>
          <w:noProof/>
          <w:lang w:val="en-US"/>
        </w:rPr>
        <w:drawing>
          <wp:inline distT="0" distB="0" distL="0" distR="0" wp14:anchorId="2DBDB0CE" wp14:editId="1B1DCFAC">
            <wp:extent cx="2941200" cy="2416479"/>
            <wp:effectExtent l="0" t="0" r="0" b="3175"/>
            <wp:docPr id="2116791633"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38" cstate="print">
                      <a:extLst>
                        <a:ext uri="{28A0092B-C50C-407E-A947-70E740481C1C}">
                          <a14:useLocalDpi xmlns:a14="http://schemas.microsoft.com/office/drawing/2010/main" val="0"/>
                        </a:ext>
                      </a:extLst>
                    </a:blip>
                    <a:srcRect/>
                    <a:stretch>
                      <a:fillRect/>
                    </a:stretch>
                  </pic:blipFill>
                  <pic:spPr>
                    <a:xfrm>
                      <a:off x="0" y="0"/>
                      <a:ext cx="2941200" cy="2416479"/>
                    </a:xfrm>
                    <a:prstGeom prst="rect">
                      <a:avLst/>
                    </a:prstGeom>
                    <a:ln/>
                  </pic:spPr>
                </pic:pic>
              </a:graphicData>
            </a:graphic>
          </wp:inline>
        </w:drawing>
      </w:r>
      <w:r>
        <w:rPr>
          <w:color w:val="000000"/>
          <w:szCs w:val="24"/>
          <w:lang w:val="en-US"/>
        </w:rPr>
        <w:t>b)</w:t>
      </w:r>
      <w:r>
        <w:rPr>
          <w:noProof/>
          <w:lang w:val="en-US"/>
        </w:rPr>
        <w:drawing>
          <wp:inline distT="0" distB="0" distL="0" distR="0" wp14:anchorId="21AF83BF" wp14:editId="34ED9FF2">
            <wp:extent cx="2935749" cy="2412000"/>
            <wp:effectExtent l="0" t="0" r="0" b="7620"/>
            <wp:docPr id="2116791632"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39" cstate="print">
                      <a:extLst>
                        <a:ext uri="{28A0092B-C50C-407E-A947-70E740481C1C}">
                          <a14:useLocalDpi xmlns:a14="http://schemas.microsoft.com/office/drawing/2010/main" val="0"/>
                        </a:ext>
                      </a:extLst>
                    </a:blip>
                    <a:srcRect/>
                    <a:stretch>
                      <a:fillRect/>
                    </a:stretch>
                  </pic:blipFill>
                  <pic:spPr>
                    <a:xfrm>
                      <a:off x="0" y="0"/>
                      <a:ext cx="2935749" cy="2412000"/>
                    </a:xfrm>
                    <a:prstGeom prst="rect">
                      <a:avLst/>
                    </a:prstGeom>
                    <a:ln/>
                  </pic:spPr>
                </pic:pic>
              </a:graphicData>
            </a:graphic>
          </wp:inline>
        </w:drawing>
      </w:r>
    </w:p>
    <w:p w14:paraId="1E367C48" w14:textId="6AC12EFC" w:rsidR="00A61CF9" w:rsidRPr="008840D2" w:rsidRDefault="00C31BEC" w:rsidP="002E6F4C">
      <w:pPr>
        <w:pBdr>
          <w:top w:val="nil"/>
          <w:left w:val="nil"/>
          <w:bottom w:val="nil"/>
          <w:right w:val="nil"/>
          <w:between w:val="nil"/>
        </w:pBdr>
        <w:ind w:left="-709" w:right="-848"/>
        <w:jc w:val="center"/>
        <w:rPr>
          <w:color w:val="000000"/>
          <w:szCs w:val="24"/>
          <w:lang w:val="en-US"/>
        </w:rPr>
      </w:pPr>
      <w:r>
        <w:rPr>
          <w:color w:val="000000"/>
          <w:szCs w:val="24"/>
          <w:lang w:val="en-US"/>
        </w:rPr>
        <w:t>c)</w:t>
      </w:r>
      <w:r>
        <w:rPr>
          <w:noProof/>
          <w:lang w:val="en-US"/>
        </w:rPr>
        <w:drawing>
          <wp:inline distT="0" distB="0" distL="0" distR="0" wp14:anchorId="41658765" wp14:editId="65D3E54B">
            <wp:extent cx="2941200" cy="2520000"/>
            <wp:effectExtent l="0" t="0" r="0" b="0"/>
            <wp:docPr id="71715928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941200" cy="2520000"/>
                    </a:xfrm>
                    <a:prstGeom prst="rect">
                      <a:avLst/>
                    </a:prstGeom>
                    <a:noFill/>
                    <a:ln>
                      <a:noFill/>
                    </a:ln>
                  </pic:spPr>
                </pic:pic>
              </a:graphicData>
            </a:graphic>
          </wp:inline>
        </w:drawing>
      </w:r>
      <w:r>
        <w:rPr>
          <w:color w:val="000000"/>
          <w:szCs w:val="24"/>
          <w:lang w:val="en-US"/>
        </w:rPr>
        <w:t>d)</w:t>
      </w:r>
      <w:r>
        <w:rPr>
          <w:noProof/>
          <w:lang w:val="en-US"/>
        </w:rPr>
        <w:drawing>
          <wp:inline distT="0" distB="0" distL="0" distR="0" wp14:anchorId="1F22BFC3" wp14:editId="67D808BB">
            <wp:extent cx="2940319" cy="2520000"/>
            <wp:effectExtent l="0" t="0" r="0" b="0"/>
            <wp:docPr id="46999910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940319" cy="2520000"/>
                    </a:xfrm>
                    <a:prstGeom prst="rect">
                      <a:avLst/>
                    </a:prstGeom>
                    <a:noFill/>
                    <a:ln>
                      <a:noFill/>
                    </a:ln>
                  </pic:spPr>
                </pic:pic>
              </a:graphicData>
            </a:graphic>
          </wp:inline>
        </w:drawing>
      </w:r>
    </w:p>
    <w:p w14:paraId="651FB163" w14:textId="38152E20" w:rsidR="00244F39" w:rsidRDefault="002844AC" w:rsidP="002E6F4C">
      <w:pPr>
        <w:pBdr>
          <w:top w:val="nil"/>
          <w:left w:val="nil"/>
          <w:bottom w:val="nil"/>
          <w:right w:val="nil"/>
          <w:between w:val="nil"/>
        </w:pBdr>
        <w:jc w:val="center"/>
        <w:rPr>
          <w:color w:val="000000"/>
          <w:szCs w:val="24"/>
          <w:lang w:val="en-US"/>
        </w:rPr>
      </w:pPr>
      <w:r>
        <w:rPr>
          <w:b/>
          <w:bCs/>
          <w:color w:val="000000"/>
          <w:szCs w:val="24"/>
          <w:lang w:val="en-US"/>
        </w:rPr>
        <w:t>Figure 7.</w:t>
      </w:r>
      <w:r>
        <w:rPr>
          <w:color w:val="000000"/>
          <w:szCs w:val="24"/>
          <w:lang w:val="en-US"/>
        </w:rPr>
        <w:t xml:space="preserve"> UMAP projections of the chemical space of the VDR ligand library colored by compound category for four molecular fingerprint types: (a) ECFP4, (b) ECFP6, (c) </w:t>
      </w:r>
      <w:proofErr w:type="spellStart"/>
      <w:r>
        <w:rPr>
          <w:color w:val="000000"/>
          <w:szCs w:val="24"/>
          <w:lang w:val="en-US"/>
        </w:rPr>
        <w:t>AtomPair</w:t>
      </w:r>
      <w:proofErr w:type="spellEnd"/>
      <w:r>
        <w:rPr>
          <w:color w:val="000000"/>
          <w:szCs w:val="24"/>
          <w:lang w:val="en-US"/>
        </w:rPr>
        <w:t xml:space="preserve">, and (d) </w:t>
      </w:r>
      <w:proofErr w:type="spellStart"/>
      <w:r>
        <w:rPr>
          <w:color w:val="000000"/>
          <w:szCs w:val="24"/>
          <w:lang w:val="en-US"/>
        </w:rPr>
        <w:t>RDKit</w:t>
      </w:r>
      <w:proofErr w:type="spellEnd"/>
      <w:r>
        <w:rPr>
          <w:color w:val="000000"/>
          <w:szCs w:val="24"/>
          <w:lang w:val="en-US"/>
        </w:rPr>
        <w:t xml:space="preserve"> topological.</w:t>
      </w:r>
    </w:p>
    <w:p w14:paraId="6D32EBB2" w14:textId="77777777" w:rsidR="004E6816" w:rsidRPr="008840D2" w:rsidRDefault="004E6816" w:rsidP="002E6F4C">
      <w:pPr>
        <w:pBdr>
          <w:top w:val="nil"/>
          <w:left w:val="nil"/>
          <w:bottom w:val="nil"/>
          <w:right w:val="nil"/>
          <w:between w:val="nil"/>
        </w:pBdr>
        <w:jc w:val="center"/>
        <w:rPr>
          <w:color w:val="000000"/>
          <w:szCs w:val="24"/>
          <w:lang w:val="en-US"/>
        </w:rPr>
      </w:pPr>
    </w:p>
    <w:p w14:paraId="000000EB" w14:textId="77777777" w:rsidR="003A1FEB" w:rsidRPr="008840D2" w:rsidRDefault="002844AC">
      <w:pPr>
        <w:pStyle w:val="Heading2"/>
        <w:rPr>
          <w:lang w:val="en-US"/>
        </w:rPr>
      </w:pPr>
      <w:bookmarkStart w:id="38" w:name="_Toc227015001"/>
      <w:r>
        <w:rPr>
          <w:lang w:val="en-US"/>
        </w:rPr>
        <w:t>4.4. Association between structural classes, clusters, and biological annotation</w:t>
      </w:r>
      <w:bookmarkEnd w:id="38"/>
    </w:p>
    <w:p w14:paraId="5107681E" w14:textId="0EE84D49" w:rsidR="00AC358F" w:rsidRPr="008840D2" w:rsidRDefault="002844AC" w:rsidP="00C95FA7">
      <w:pPr>
        <w:pStyle w:val="BodyText"/>
      </w:pPr>
      <w:r>
        <w:t>Analysis of seven physicochemical descriptors showed that analogs, metabolites, and hybrids largely occupied overlapping property ranges typical of steroid-like compounds, whereas non-</w:t>
      </w:r>
      <w:proofErr w:type="spellStart"/>
      <w:r>
        <w:t>secosteroidal</w:t>
      </w:r>
      <w:proofErr w:type="spellEnd"/>
      <w:r>
        <w:t xml:space="preserve"> ligands were consistently more diverse. The clearest differences were observed for </w:t>
      </w:r>
      <w:proofErr w:type="spellStart"/>
      <w:r>
        <w:t>logP</w:t>
      </w:r>
      <w:proofErr w:type="spellEnd"/>
      <w:r>
        <w:t>, number of heavy atoms, rotatable bonds, and TPSA, where non-</w:t>
      </w:r>
      <w:proofErr w:type="spellStart"/>
      <w:r>
        <w:t>secosteroidal</w:t>
      </w:r>
      <w:proofErr w:type="spellEnd"/>
      <w:r>
        <w:t xml:space="preserve"> ligands displayed broader distributions and more extreme values. Metabolites were distinguished by higher polarity and wider HBA, HBD, and TPSA distributions, consistent with the presence of additional oxygen-containing groups. </w:t>
      </w:r>
      <w:r>
        <w:lastRenderedPageBreak/>
        <w:t>Hybrids generally showed compact distributions, while analogs exhibited the greatest within-category variability.</w:t>
      </w:r>
    </w:p>
    <w:p w14:paraId="687A7EAD" w14:textId="2027B102" w:rsidR="008306D0" w:rsidRPr="008840D2" w:rsidRDefault="00850887" w:rsidP="002E6F4C">
      <w:pPr>
        <w:pBdr>
          <w:top w:val="nil"/>
          <w:left w:val="nil"/>
          <w:bottom w:val="nil"/>
          <w:right w:val="nil"/>
          <w:between w:val="nil"/>
        </w:pBdr>
        <w:spacing w:line="240" w:lineRule="auto"/>
        <w:ind w:left="-567" w:right="-281"/>
        <w:jc w:val="center"/>
        <w:rPr>
          <w:color w:val="000000"/>
          <w:szCs w:val="24"/>
          <w:lang w:val="en-US"/>
        </w:rPr>
      </w:pPr>
      <w:r>
        <w:rPr>
          <w:color w:val="000000"/>
          <w:szCs w:val="24"/>
          <w:lang w:val="en-US"/>
        </w:rPr>
        <w:t>a)</w:t>
      </w:r>
      <w:r>
        <w:rPr>
          <w:noProof/>
          <w:color w:val="000000"/>
          <w:szCs w:val="24"/>
          <w:lang w:val="en-US"/>
        </w:rPr>
        <w:drawing>
          <wp:inline distT="0" distB="0" distL="0" distR="0" wp14:anchorId="356744FD" wp14:editId="585758E7">
            <wp:extent cx="2538745" cy="1800000"/>
            <wp:effectExtent l="0" t="0" r="0" b="0"/>
            <wp:docPr id="19655405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5540583" name=""/>
                    <pic:cNvPicPr/>
                  </pic:nvPicPr>
                  <pic:blipFill>
                    <a:blip r:embed="rId42"/>
                    <a:stretch>
                      <a:fillRect/>
                    </a:stretch>
                  </pic:blipFill>
                  <pic:spPr>
                    <a:xfrm>
                      <a:off x="0" y="0"/>
                      <a:ext cx="2538745" cy="1800000"/>
                    </a:xfrm>
                    <a:prstGeom prst="rect">
                      <a:avLst/>
                    </a:prstGeom>
                  </pic:spPr>
                </pic:pic>
              </a:graphicData>
            </a:graphic>
          </wp:inline>
        </w:drawing>
      </w:r>
      <w:r>
        <w:rPr>
          <w:color w:val="000000"/>
          <w:szCs w:val="24"/>
          <w:lang w:val="en-US"/>
        </w:rPr>
        <w:t xml:space="preserve"> b)</w:t>
      </w:r>
      <w:r>
        <w:rPr>
          <w:noProof/>
          <w:color w:val="000000"/>
          <w:szCs w:val="24"/>
          <w:lang w:val="en-US"/>
        </w:rPr>
        <w:drawing>
          <wp:inline distT="0" distB="0" distL="0" distR="0" wp14:anchorId="2C6895C1" wp14:editId="72736CB7">
            <wp:extent cx="2538745" cy="1800000"/>
            <wp:effectExtent l="0" t="0" r="0" b="0"/>
            <wp:docPr id="15236520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3652010" name=""/>
                    <pic:cNvPicPr/>
                  </pic:nvPicPr>
                  <pic:blipFill>
                    <a:blip r:embed="rId43"/>
                    <a:stretch>
                      <a:fillRect/>
                    </a:stretch>
                  </pic:blipFill>
                  <pic:spPr>
                    <a:xfrm>
                      <a:off x="0" y="0"/>
                      <a:ext cx="2538745" cy="1800000"/>
                    </a:xfrm>
                    <a:prstGeom prst="rect">
                      <a:avLst/>
                    </a:prstGeom>
                  </pic:spPr>
                </pic:pic>
              </a:graphicData>
            </a:graphic>
          </wp:inline>
        </w:drawing>
      </w:r>
      <w:r>
        <w:rPr>
          <w:noProof/>
          <w:lang w:val="en-US"/>
        </w:rPr>
        <w:t xml:space="preserve"> </w:t>
      </w:r>
    </w:p>
    <w:p w14:paraId="616176AC" w14:textId="0893CDEF" w:rsidR="005F4EEB" w:rsidRPr="008840D2" w:rsidRDefault="00850887" w:rsidP="002E6F4C">
      <w:pPr>
        <w:pBdr>
          <w:top w:val="nil"/>
          <w:left w:val="nil"/>
          <w:bottom w:val="nil"/>
          <w:right w:val="nil"/>
          <w:between w:val="nil"/>
        </w:pBdr>
        <w:spacing w:line="240" w:lineRule="auto"/>
        <w:ind w:left="-567" w:right="-281"/>
        <w:jc w:val="center"/>
        <w:rPr>
          <w:color w:val="000000"/>
          <w:szCs w:val="24"/>
          <w:lang w:val="en-US"/>
        </w:rPr>
      </w:pPr>
      <w:r>
        <w:rPr>
          <w:color w:val="000000"/>
          <w:szCs w:val="24"/>
          <w:lang w:val="en-US"/>
        </w:rPr>
        <w:t xml:space="preserve">c) </w:t>
      </w:r>
      <w:r>
        <w:rPr>
          <w:noProof/>
          <w:color w:val="000000"/>
          <w:szCs w:val="24"/>
          <w:lang w:val="en-US"/>
        </w:rPr>
        <w:drawing>
          <wp:inline distT="0" distB="0" distL="0" distR="0" wp14:anchorId="113ED8E8" wp14:editId="61255B4D">
            <wp:extent cx="2538745" cy="1800000"/>
            <wp:effectExtent l="0" t="0" r="0" b="0"/>
            <wp:docPr id="3494073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407388" name=""/>
                    <pic:cNvPicPr/>
                  </pic:nvPicPr>
                  <pic:blipFill>
                    <a:blip r:embed="rId44"/>
                    <a:stretch>
                      <a:fillRect/>
                    </a:stretch>
                  </pic:blipFill>
                  <pic:spPr>
                    <a:xfrm>
                      <a:off x="0" y="0"/>
                      <a:ext cx="2538745" cy="1800000"/>
                    </a:xfrm>
                    <a:prstGeom prst="rect">
                      <a:avLst/>
                    </a:prstGeom>
                  </pic:spPr>
                </pic:pic>
              </a:graphicData>
            </a:graphic>
          </wp:inline>
        </w:drawing>
      </w:r>
      <w:r>
        <w:rPr>
          <w:color w:val="000000"/>
          <w:szCs w:val="24"/>
          <w:lang w:val="en-US"/>
        </w:rPr>
        <w:t xml:space="preserve"> d)</w:t>
      </w:r>
      <w:r>
        <w:rPr>
          <w:noProof/>
          <w:color w:val="000000"/>
          <w:szCs w:val="24"/>
          <w:lang w:val="en-US"/>
        </w:rPr>
        <w:drawing>
          <wp:inline distT="0" distB="0" distL="0" distR="0" wp14:anchorId="3D7F08AD" wp14:editId="0D1FB38C">
            <wp:extent cx="2538745" cy="1800000"/>
            <wp:effectExtent l="0" t="0" r="0" b="0"/>
            <wp:docPr id="14413642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1364281" name=""/>
                    <pic:cNvPicPr/>
                  </pic:nvPicPr>
                  <pic:blipFill>
                    <a:blip r:embed="rId45"/>
                    <a:stretch>
                      <a:fillRect/>
                    </a:stretch>
                  </pic:blipFill>
                  <pic:spPr>
                    <a:xfrm>
                      <a:off x="0" y="0"/>
                      <a:ext cx="2538745" cy="1800000"/>
                    </a:xfrm>
                    <a:prstGeom prst="rect">
                      <a:avLst/>
                    </a:prstGeom>
                  </pic:spPr>
                </pic:pic>
              </a:graphicData>
            </a:graphic>
          </wp:inline>
        </w:drawing>
      </w:r>
    </w:p>
    <w:p w14:paraId="7786C9CF" w14:textId="217F70C7" w:rsidR="00320EBB" w:rsidRPr="008840D2" w:rsidRDefault="00850887" w:rsidP="002E6F4C">
      <w:pPr>
        <w:pBdr>
          <w:top w:val="nil"/>
          <w:left w:val="nil"/>
          <w:bottom w:val="nil"/>
          <w:right w:val="nil"/>
          <w:between w:val="nil"/>
        </w:pBdr>
        <w:spacing w:line="240" w:lineRule="auto"/>
        <w:ind w:left="-567" w:right="-281"/>
        <w:jc w:val="center"/>
        <w:rPr>
          <w:color w:val="000000"/>
          <w:szCs w:val="24"/>
          <w:lang w:val="en-US"/>
        </w:rPr>
      </w:pPr>
      <w:r>
        <w:rPr>
          <w:noProof/>
          <w:lang w:val="en-US"/>
        </w:rPr>
        <w:t xml:space="preserve">e) </w:t>
      </w:r>
      <w:r>
        <w:rPr>
          <w:noProof/>
          <w:lang w:val="en-US"/>
        </w:rPr>
        <w:drawing>
          <wp:inline distT="0" distB="0" distL="0" distR="0" wp14:anchorId="5E08ABA9" wp14:editId="4AE544C4">
            <wp:extent cx="2538745" cy="1800000"/>
            <wp:effectExtent l="0" t="0" r="0" b="0"/>
            <wp:docPr id="18262131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6213111" name=""/>
                    <pic:cNvPicPr/>
                  </pic:nvPicPr>
                  <pic:blipFill>
                    <a:blip r:embed="rId46"/>
                    <a:stretch>
                      <a:fillRect/>
                    </a:stretch>
                  </pic:blipFill>
                  <pic:spPr>
                    <a:xfrm>
                      <a:off x="0" y="0"/>
                      <a:ext cx="2538745" cy="1800000"/>
                    </a:xfrm>
                    <a:prstGeom prst="rect">
                      <a:avLst/>
                    </a:prstGeom>
                  </pic:spPr>
                </pic:pic>
              </a:graphicData>
            </a:graphic>
          </wp:inline>
        </w:drawing>
      </w:r>
      <w:r>
        <w:rPr>
          <w:noProof/>
          <w:lang w:val="en-US"/>
        </w:rPr>
        <w:t xml:space="preserve"> f) </w:t>
      </w:r>
      <w:r>
        <w:rPr>
          <w:noProof/>
          <w:lang w:val="en-US"/>
        </w:rPr>
        <w:drawing>
          <wp:inline distT="0" distB="0" distL="0" distR="0" wp14:anchorId="16EB4F18" wp14:editId="4F74E8E1">
            <wp:extent cx="2538745" cy="1800000"/>
            <wp:effectExtent l="0" t="0" r="0" b="0"/>
            <wp:docPr id="19310689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1068913" name=""/>
                    <pic:cNvPicPr/>
                  </pic:nvPicPr>
                  <pic:blipFill>
                    <a:blip r:embed="rId47"/>
                    <a:stretch>
                      <a:fillRect/>
                    </a:stretch>
                  </pic:blipFill>
                  <pic:spPr>
                    <a:xfrm>
                      <a:off x="0" y="0"/>
                      <a:ext cx="2538745" cy="1800000"/>
                    </a:xfrm>
                    <a:prstGeom prst="rect">
                      <a:avLst/>
                    </a:prstGeom>
                  </pic:spPr>
                </pic:pic>
              </a:graphicData>
            </a:graphic>
          </wp:inline>
        </w:drawing>
      </w:r>
    </w:p>
    <w:p w14:paraId="78754085" w14:textId="31163D0A" w:rsidR="00AC358F" w:rsidRPr="008840D2" w:rsidRDefault="002E6F4C" w:rsidP="002E6F4C">
      <w:pPr>
        <w:pBdr>
          <w:top w:val="nil"/>
          <w:left w:val="nil"/>
          <w:bottom w:val="nil"/>
          <w:right w:val="nil"/>
          <w:between w:val="nil"/>
        </w:pBdr>
        <w:spacing w:line="240" w:lineRule="auto"/>
        <w:jc w:val="center"/>
        <w:rPr>
          <w:color w:val="000000"/>
          <w:szCs w:val="24"/>
          <w:lang w:val="en-US"/>
        </w:rPr>
      </w:pPr>
      <w:r>
        <w:rPr>
          <w:noProof/>
          <w:color w:val="000000"/>
          <w:szCs w:val="24"/>
          <w:lang w:val="en-US"/>
        </w:rPr>
        <w:drawing>
          <wp:anchor distT="0" distB="0" distL="114300" distR="114300" simplePos="0" relativeHeight="251666432" behindDoc="0" locked="0" layoutInCell="1" allowOverlap="1" wp14:anchorId="3EE66B78" wp14:editId="45CB2704">
            <wp:simplePos x="0" y="0"/>
            <wp:positionH relativeFrom="column">
              <wp:posOffset>2821143</wp:posOffset>
            </wp:positionH>
            <wp:positionV relativeFrom="paragraph">
              <wp:posOffset>421640</wp:posOffset>
            </wp:positionV>
            <wp:extent cx="1986280" cy="1027430"/>
            <wp:effectExtent l="0" t="0" r="0" b="0"/>
            <wp:wrapSquare wrapText="bothSides"/>
            <wp:docPr id="3816974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697461" name=""/>
                    <pic:cNvPicPr/>
                  </pic:nvPicPr>
                  <pic:blipFill rotWithShape="1">
                    <a:blip r:embed="rId48" cstate="print">
                      <a:extLst>
                        <a:ext uri="{28A0092B-C50C-407E-A947-70E740481C1C}">
                          <a14:useLocalDpi xmlns:a14="http://schemas.microsoft.com/office/drawing/2010/main" val="0"/>
                        </a:ext>
                      </a:extLst>
                    </a:blip>
                    <a:srcRect l="2818" t="11766" r="2810" b="19352"/>
                    <a:stretch>
                      <a:fillRect/>
                    </a:stretch>
                  </pic:blipFill>
                  <pic:spPr bwMode="auto">
                    <a:xfrm>
                      <a:off x="0" y="0"/>
                      <a:ext cx="1986280" cy="10274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color w:val="000000"/>
          <w:szCs w:val="24"/>
          <w:lang w:val="en-US"/>
        </w:rPr>
        <w:t>g)</w:t>
      </w:r>
      <w:r>
        <w:rPr>
          <w:noProof/>
          <w:color w:val="000000"/>
          <w:szCs w:val="24"/>
          <w:lang w:val="en-US"/>
        </w:rPr>
        <w:drawing>
          <wp:inline distT="0" distB="0" distL="0" distR="0" wp14:anchorId="63DA5ED4" wp14:editId="4B74E526">
            <wp:extent cx="2538745" cy="1800000"/>
            <wp:effectExtent l="0" t="0" r="0" b="0"/>
            <wp:docPr id="11236182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618211" name=""/>
                    <pic:cNvPicPr/>
                  </pic:nvPicPr>
                  <pic:blipFill>
                    <a:blip r:embed="rId49"/>
                    <a:stretch>
                      <a:fillRect/>
                    </a:stretch>
                  </pic:blipFill>
                  <pic:spPr>
                    <a:xfrm>
                      <a:off x="0" y="0"/>
                      <a:ext cx="2538745" cy="1800000"/>
                    </a:xfrm>
                    <a:prstGeom prst="rect">
                      <a:avLst/>
                    </a:prstGeom>
                  </pic:spPr>
                </pic:pic>
              </a:graphicData>
            </a:graphic>
          </wp:inline>
        </w:drawing>
      </w:r>
      <w:r>
        <w:rPr>
          <w:noProof/>
          <w:lang w:val="en-US"/>
        </w:rPr>
        <w:t xml:space="preserve"> </w:t>
      </w:r>
    </w:p>
    <w:p w14:paraId="43FFB38A" w14:textId="221EA53F" w:rsidR="006219DB" w:rsidRPr="008840D2" w:rsidRDefault="00320EBB" w:rsidP="002E6F4C">
      <w:pPr>
        <w:pBdr>
          <w:top w:val="nil"/>
          <w:left w:val="nil"/>
          <w:bottom w:val="nil"/>
          <w:right w:val="nil"/>
          <w:between w:val="nil"/>
        </w:pBdr>
        <w:spacing w:line="240" w:lineRule="auto"/>
        <w:jc w:val="center"/>
        <w:rPr>
          <w:color w:val="000000"/>
          <w:szCs w:val="24"/>
          <w:lang w:val="en-US"/>
        </w:rPr>
      </w:pPr>
      <w:r>
        <w:rPr>
          <w:b/>
          <w:bCs/>
          <w:color w:val="000000"/>
          <w:szCs w:val="24"/>
          <w:lang w:val="en-US"/>
        </w:rPr>
        <w:t>Figure 8.</w:t>
      </w:r>
      <w:r>
        <w:rPr>
          <w:color w:val="000000"/>
          <w:szCs w:val="24"/>
          <w:lang w:val="en-US"/>
        </w:rPr>
        <w:t xml:space="preserve"> Kernel density estimation plots showing the distribution of physicochemical descriptors of VDR ligands across structural categories: (a) </w:t>
      </w:r>
      <w:proofErr w:type="spellStart"/>
      <w:r>
        <w:rPr>
          <w:color w:val="000000"/>
          <w:szCs w:val="24"/>
          <w:lang w:val="en-US"/>
        </w:rPr>
        <w:t>logP</w:t>
      </w:r>
      <w:proofErr w:type="spellEnd"/>
      <w:r>
        <w:rPr>
          <w:color w:val="000000"/>
          <w:szCs w:val="24"/>
          <w:lang w:val="en-US"/>
        </w:rPr>
        <w:t xml:space="preserve">, (b) Heavy Atoms, (c) HBA, (d) HBD, (e) MW, (f) TPSA, and (g) number of </w:t>
      </w:r>
      <w:proofErr w:type="spellStart"/>
      <w:r>
        <w:rPr>
          <w:color w:val="000000"/>
          <w:szCs w:val="24"/>
          <w:lang w:val="en-US"/>
        </w:rPr>
        <w:t>RotB</w:t>
      </w:r>
      <w:proofErr w:type="spellEnd"/>
      <w:r>
        <w:rPr>
          <w:color w:val="000000"/>
          <w:szCs w:val="24"/>
          <w:lang w:val="en-US"/>
        </w:rPr>
        <w:t>.</w:t>
      </w:r>
    </w:p>
    <w:p w14:paraId="000000F2" w14:textId="1E992A3D" w:rsidR="003A1FEB" w:rsidRPr="008840D2" w:rsidRDefault="002844AC" w:rsidP="00C95FA7">
      <w:pPr>
        <w:pStyle w:val="BodyText"/>
      </w:pPr>
      <w:r>
        <w:lastRenderedPageBreak/>
        <w:t>Boxplot analysis confirmed that median descriptor values were often similar across categories, whereas the main differences were related to dispersion and outliers. Analogs showed the highest heterogeneity, likely reflecting the broad structural diversity of this largest class, while hybrids were the most homogeneous. Overall, the descriptor profiles supported the clustering results, indicating partial overlap among steroid-based categories and a clear physicochemical separation of non-</w:t>
      </w:r>
      <w:proofErr w:type="spellStart"/>
      <w:r>
        <w:t>secosteroidal</w:t>
      </w:r>
      <w:proofErr w:type="spellEnd"/>
      <w:r>
        <w:t xml:space="preserve"> ligands.</w:t>
      </w:r>
    </w:p>
    <w:p w14:paraId="256B2151" w14:textId="1312BA1F" w:rsidR="00E5107F" w:rsidRPr="008840D2" w:rsidRDefault="00E5107F" w:rsidP="002E6F4C">
      <w:pPr>
        <w:pBdr>
          <w:top w:val="nil"/>
          <w:left w:val="nil"/>
          <w:bottom w:val="nil"/>
          <w:right w:val="nil"/>
          <w:between w:val="nil"/>
        </w:pBdr>
        <w:spacing w:line="240" w:lineRule="auto"/>
        <w:ind w:left="-567" w:right="-423"/>
        <w:jc w:val="center"/>
        <w:rPr>
          <w:noProof/>
          <w:lang w:val="en-US"/>
        </w:rPr>
      </w:pPr>
      <w:r>
        <w:rPr>
          <w:noProof/>
          <w:lang w:val="en-US"/>
        </w:rPr>
        <w:t>a)</w:t>
      </w:r>
      <w:r>
        <w:rPr>
          <w:noProof/>
          <w:color w:val="000000"/>
          <w:szCs w:val="24"/>
          <w:lang w:val="en-US"/>
        </w:rPr>
        <w:drawing>
          <wp:inline distT="0" distB="0" distL="0" distR="0" wp14:anchorId="581A0C73" wp14:editId="190913CF">
            <wp:extent cx="2880000" cy="2041953"/>
            <wp:effectExtent l="0" t="0" r="0" b="0"/>
            <wp:docPr id="3458504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850478" name=""/>
                    <pic:cNvPicPr/>
                  </pic:nvPicPr>
                  <pic:blipFill>
                    <a:blip r:embed="rId50"/>
                    <a:stretch>
                      <a:fillRect/>
                    </a:stretch>
                  </pic:blipFill>
                  <pic:spPr>
                    <a:xfrm>
                      <a:off x="0" y="0"/>
                      <a:ext cx="2880000" cy="2041953"/>
                    </a:xfrm>
                    <a:prstGeom prst="rect">
                      <a:avLst/>
                    </a:prstGeom>
                  </pic:spPr>
                </pic:pic>
              </a:graphicData>
            </a:graphic>
          </wp:inline>
        </w:drawing>
      </w:r>
      <w:r>
        <w:rPr>
          <w:noProof/>
          <w:lang w:val="en-US"/>
        </w:rPr>
        <w:t>b)</w:t>
      </w:r>
      <w:r>
        <w:rPr>
          <w:noProof/>
          <w:color w:val="000000"/>
          <w:szCs w:val="24"/>
          <w:lang w:val="en-US"/>
        </w:rPr>
        <w:drawing>
          <wp:inline distT="0" distB="0" distL="0" distR="0" wp14:anchorId="3296D787" wp14:editId="457BB61B">
            <wp:extent cx="2880000" cy="2041954"/>
            <wp:effectExtent l="0" t="0" r="0" b="0"/>
            <wp:docPr id="9309994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0999476" name=""/>
                    <pic:cNvPicPr/>
                  </pic:nvPicPr>
                  <pic:blipFill>
                    <a:blip r:embed="rId51"/>
                    <a:stretch>
                      <a:fillRect/>
                    </a:stretch>
                  </pic:blipFill>
                  <pic:spPr>
                    <a:xfrm>
                      <a:off x="0" y="0"/>
                      <a:ext cx="2880000" cy="2041954"/>
                    </a:xfrm>
                    <a:prstGeom prst="rect">
                      <a:avLst/>
                    </a:prstGeom>
                  </pic:spPr>
                </pic:pic>
              </a:graphicData>
            </a:graphic>
          </wp:inline>
        </w:drawing>
      </w:r>
    </w:p>
    <w:p w14:paraId="29397B29" w14:textId="77777777" w:rsidR="00E5107F" w:rsidRPr="008840D2" w:rsidRDefault="00E5107F" w:rsidP="002E6F4C">
      <w:pPr>
        <w:pBdr>
          <w:top w:val="nil"/>
          <w:left w:val="nil"/>
          <w:bottom w:val="nil"/>
          <w:right w:val="nil"/>
          <w:between w:val="nil"/>
        </w:pBdr>
        <w:spacing w:line="240" w:lineRule="auto"/>
        <w:ind w:left="-567" w:right="-423"/>
        <w:jc w:val="center"/>
        <w:rPr>
          <w:noProof/>
          <w:lang w:val="en-US"/>
        </w:rPr>
      </w:pPr>
      <w:r>
        <w:rPr>
          <w:noProof/>
          <w:lang w:val="en-US"/>
        </w:rPr>
        <w:t>c)</w:t>
      </w:r>
      <w:r>
        <w:rPr>
          <w:noProof/>
          <w:lang w:val="en-US"/>
        </w:rPr>
        <w:drawing>
          <wp:inline distT="0" distB="0" distL="0" distR="0" wp14:anchorId="4B5A56ED" wp14:editId="5A4E2DC9">
            <wp:extent cx="2880000" cy="2041954"/>
            <wp:effectExtent l="0" t="0" r="0" b="0"/>
            <wp:docPr id="10778571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7857163" name=""/>
                    <pic:cNvPicPr/>
                  </pic:nvPicPr>
                  <pic:blipFill>
                    <a:blip r:embed="rId52"/>
                    <a:stretch>
                      <a:fillRect/>
                    </a:stretch>
                  </pic:blipFill>
                  <pic:spPr>
                    <a:xfrm>
                      <a:off x="0" y="0"/>
                      <a:ext cx="2880000" cy="2041954"/>
                    </a:xfrm>
                    <a:prstGeom prst="rect">
                      <a:avLst/>
                    </a:prstGeom>
                  </pic:spPr>
                </pic:pic>
              </a:graphicData>
            </a:graphic>
          </wp:inline>
        </w:drawing>
      </w:r>
      <w:r>
        <w:rPr>
          <w:noProof/>
          <w:lang w:val="en-US"/>
        </w:rPr>
        <w:t>d)</w:t>
      </w:r>
      <w:r>
        <w:rPr>
          <w:noProof/>
          <w:color w:val="000000"/>
          <w:szCs w:val="24"/>
          <w:lang w:val="en-US"/>
        </w:rPr>
        <w:drawing>
          <wp:inline distT="0" distB="0" distL="0" distR="0" wp14:anchorId="1BC61BE8" wp14:editId="6D4F0F53">
            <wp:extent cx="2880000" cy="2041954"/>
            <wp:effectExtent l="0" t="0" r="0" b="0"/>
            <wp:docPr id="9890868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086877" name=""/>
                    <pic:cNvPicPr/>
                  </pic:nvPicPr>
                  <pic:blipFill>
                    <a:blip r:embed="rId53"/>
                    <a:stretch>
                      <a:fillRect/>
                    </a:stretch>
                  </pic:blipFill>
                  <pic:spPr>
                    <a:xfrm>
                      <a:off x="0" y="0"/>
                      <a:ext cx="2880000" cy="2041954"/>
                    </a:xfrm>
                    <a:prstGeom prst="rect">
                      <a:avLst/>
                    </a:prstGeom>
                  </pic:spPr>
                </pic:pic>
              </a:graphicData>
            </a:graphic>
          </wp:inline>
        </w:drawing>
      </w:r>
      <w:r>
        <w:rPr>
          <w:noProof/>
          <w:lang w:val="en-US"/>
        </w:rPr>
        <w:t xml:space="preserve">  e)</w:t>
      </w:r>
      <w:r>
        <w:rPr>
          <w:noProof/>
          <w:lang w:val="en-US"/>
        </w:rPr>
        <w:drawing>
          <wp:inline distT="0" distB="0" distL="0" distR="0" wp14:anchorId="788C2F49" wp14:editId="10A3A383">
            <wp:extent cx="2880000" cy="2041954"/>
            <wp:effectExtent l="0" t="0" r="0" b="0"/>
            <wp:docPr id="15519647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1964730" name=""/>
                    <pic:cNvPicPr/>
                  </pic:nvPicPr>
                  <pic:blipFill>
                    <a:blip r:embed="rId54"/>
                    <a:stretch>
                      <a:fillRect/>
                    </a:stretch>
                  </pic:blipFill>
                  <pic:spPr>
                    <a:xfrm>
                      <a:off x="0" y="0"/>
                      <a:ext cx="2880000" cy="2041954"/>
                    </a:xfrm>
                    <a:prstGeom prst="rect">
                      <a:avLst/>
                    </a:prstGeom>
                  </pic:spPr>
                </pic:pic>
              </a:graphicData>
            </a:graphic>
          </wp:inline>
        </w:drawing>
      </w:r>
      <w:r>
        <w:rPr>
          <w:noProof/>
          <w:lang w:val="en-US"/>
        </w:rPr>
        <w:t xml:space="preserve"> f)</w:t>
      </w:r>
      <w:r>
        <w:rPr>
          <w:noProof/>
          <w:lang w:val="en-US"/>
        </w:rPr>
        <w:drawing>
          <wp:inline distT="0" distB="0" distL="0" distR="0" wp14:anchorId="49323219" wp14:editId="427174FD">
            <wp:extent cx="2880000" cy="2041954"/>
            <wp:effectExtent l="0" t="0" r="0" b="0"/>
            <wp:docPr id="6276370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637004" name=""/>
                    <pic:cNvPicPr/>
                  </pic:nvPicPr>
                  <pic:blipFill>
                    <a:blip r:embed="rId55"/>
                    <a:stretch>
                      <a:fillRect/>
                    </a:stretch>
                  </pic:blipFill>
                  <pic:spPr>
                    <a:xfrm>
                      <a:off x="0" y="0"/>
                      <a:ext cx="2880000" cy="2041954"/>
                    </a:xfrm>
                    <a:prstGeom prst="rect">
                      <a:avLst/>
                    </a:prstGeom>
                  </pic:spPr>
                </pic:pic>
              </a:graphicData>
            </a:graphic>
          </wp:inline>
        </w:drawing>
      </w:r>
    </w:p>
    <w:p w14:paraId="1377F080" w14:textId="7CE556B7" w:rsidR="00E5107F" w:rsidRPr="008840D2" w:rsidRDefault="007C69D2" w:rsidP="002E6F4C">
      <w:pPr>
        <w:pBdr>
          <w:top w:val="nil"/>
          <w:left w:val="nil"/>
          <w:bottom w:val="nil"/>
          <w:right w:val="nil"/>
          <w:between w:val="nil"/>
        </w:pBdr>
        <w:spacing w:line="240" w:lineRule="auto"/>
        <w:ind w:left="-567" w:right="-423"/>
        <w:jc w:val="center"/>
        <w:rPr>
          <w:color w:val="000000"/>
          <w:szCs w:val="24"/>
          <w:lang w:val="en-US"/>
        </w:rPr>
      </w:pPr>
      <w:r>
        <w:rPr>
          <w:noProof/>
          <w:lang w:val="en-US"/>
        </w:rPr>
        <w:lastRenderedPageBreak/>
        <w:t>g)</w:t>
      </w:r>
      <w:r>
        <w:rPr>
          <w:noProof/>
          <w:color w:val="000000"/>
          <w:szCs w:val="24"/>
          <w:lang w:val="en-US"/>
        </w:rPr>
        <w:drawing>
          <wp:inline distT="0" distB="0" distL="0" distR="0" wp14:anchorId="7F24C251" wp14:editId="5D5A7C01">
            <wp:extent cx="2880000" cy="2041954"/>
            <wp:effectExtent l="0" t="0" r="0" b="0"/>
            <wp:docPr id="4378190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819076" name=""/>
                    <pic:cNvPicPr/>
                  </pic:nvPicPr>
                  <pic:blipFill>
                    <a:blip r:embed="rId56"/>
                    <a:stretch>
                      <a:fillRect/>
                    </a:stretch>
                  </pic:blipFill>
                  <pic:spPr>
                    <a:xfrm>
                      <a:off x="0" y="0"/>
                      <a:ext cx="2880000" cy="2041954"/>
                    </a:xfrm>
                    <a:prstGeom prst="rect">
                      <a:avLst/>
                    </a:prstGeom>
                  </pic:spPr>
                </pic:pic>
              </a:graphicData>
            </a:graphic>
          </wp:inline>
        </w:drawing>
      </w:r>
      <w:r>
        <w:rPr>
          <w:noProof/>
          <w:lang w:val="en-US"/>
        </w:rPr>
        <w:t xml:space="preserve">   </w:t>
      </w:r>
      <w:r w:rsidR="006016CD" w:rsidRPr="00DE7313">
        <w:rPr>
          <w:noProof/>
          <w:lang w:val="en-US"/>
        </w:rPr>
        <w:drawing>
          <wp:inline distT="0" distB="0" distL="0" distR="0" wp14:anchorId="7C9D8870" wp14:editId="1AF0E959">
            <wp:extent cx="2286000" cy="1263805"/>
            <wp:effectExtent l="0" t="0" r="0" b="0"/>
            <wp:docPr id="18329066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2906637" name=""/>
                    <pic:cNvPicPr/>
                  </pic:nvPicPr>
                  <pic:blipFill rotWithShape="1">
                    <a:blip r:embed="rId57"/>
                    <a:srcRect l="53479" t="53879" r="17607" b="23575"/>
                    <a:stretch>
                      <a:fillRect/>
                    </a:stretch>
                  </pic:blipFill>
                  <pic:spPr bwMode="auto">
                    <a:xfrm>
                      <a:off x="0" y="0"/>
                      <a:ext cx="2293330" cy="1267857"/>
                    </a:xfrm>
                    <a:prstGeom prst="rect">
                      <a:avLst/>
                    </a:prstGeom>
                    <a:ln>
                      <a:noFill/>
                    </a:ln>
                    <a:extLst>
                      <a:ext uri="{53640926-AAD7-44D8-BBD7-CCE9431645EC}">
                        <a14:shadowObscured xmlns:a14="http://schemas.microsoft.com/office/drawing/2010/main"/>
                      </a:ext>
                    </a:extLst>
                  </pic:spPr>
                </pic:pic>
              </a:graphicData>
            </a:graphic>
          </wp:inline>
        </w:drawing>
      </w:r>
    </w:p>
    <w:p w14:paraId="4210BE05" w14:textId="0E9BA681" w:rsidR="003A1FEB" w:rsidRPr="008840D2" w:rsidRDefault="002844AC" w:rsidP="002E6F4C">
      <w:pPr>
        <w:pBdr>
          <w:top w:val="nil"/>
          <w:left w:val="nil"/>
          <w:bottom w:val="nil"/>
          <w:right w:val="nil"/>
          <w:between w:val="nil"/>
        </w:pBdr>
        <w:spacing w:line="240" w:lineRule="auto"/>
        <w:jc w:val="center"/>
        <w:rPr>
          <w:color w:val="000000"/>
          <w:szCs w:val="24"/>
          <w:lang w:val="en-US"/>
        </w:rPr>
      </w:pPr>
      <w:r>
        <w:rPr>
          <w:b/>
          <w:bCs/>
          <w:color w:val="000000"/>
          <w:szCs w:val="24"/>
          <w:lang w:val="en-US"/>
        </w:rPr>
        <w:t>Figure 9.</w:t>
      </w:r>
      <w:r>
        <w:rPr>
          <w:color w:val="000000"/>
          <w:szCs w:val="24"/>
          <w:lang w:val="en-US"/>
        </w:rPr>
        <w:t xml:space="preserve"> Distribution of physicochemical descriptors across structural categories of the VDR ligand library, presented as boxplots.</w:t>
      </w:r>
    </w:p>
    <w:p w14:paraId="70884941" w14:textId="46A0CE7E" w:rsidR="006219DB" w:rsidRPr="008840D2" w:rsidRDefault="005E01D6" w:rsidP="002E6F4C">
      <w:pPr>
        <w:pBdr>
          <w:top w:val="nil"/>
          <w:left w:val="nil"/>
          <w:bottom w:val="nil"/>
          <w:right w:val="nil"/>
          <w:between w:val="nil"/>
        </w:pBdr>
        <w:spacing w:line="240" w:lineRule="auto"/>
        <w:jc w:val="center"/>
        <w:rPr>
          <w:color w:val="000000"/>
          <w:szCs w:val="24"/>
          <w:lang w:val="en-US"/>
        </w:rPr>
      </w:pPr>
      <w:r>
        <w:rPr>
          <w:color w:val="000000"/>
          <w:szCs w:val="24"/>
          <w:lang w:val="en-US"/>
        </w:rPr>
        <w:t xml:space="preserve">(a) </w:t>
      </w:r>
      <w:proofErr w:type="spellStart"/>
      <w:r>
        <w:rPr>
          <w:color w:val="000000"/>
          <w:szCs w:val="24"/>
          <w:lang w:val="en-US"/>
        </w:rPr>
        <w:t>logP</w:t>
      </w:r>
      <w:proofErr w:type="spellEnd"/>
      <w:r>
        <w:rPr>
          <w:color w:val="000000"/>
          <w:szCs w:val="24"/>
          <w:lang w:val="en-US"/>
        </w:rPr>
        <w:t xml:space="preserve">, (b) Heavy Atoms, (c) HBA, (d) HBD, (e) MW, (f) TPSA, and (g) number of </w:t>
      </w:r>
      <w:proofErr w:type="spellStart"/>
      <w:r>
        <w:rPr>
          <w:color w:val="000000"/>
          <w:szCs w:val="24"/>
          <w:lang w:val="en-US"/>
        </w:rPr>
        <w:t>RotB</w:t>
      </w:r>
      <w:proofErr w:type="spellEnd"/>
      <w:r>
        <w:rPr>
          <w:color w:val="000000"/>
          <w:szCs w:val="24"/>
          <w:lang w:val="en-US"/>
        </w:rPr>
        <w:t>.</w:t>
      </w:r>
    </w:p>
    <w:p w14:paraId="000000F4" w14:textId="175694CB" w:rsidR="006219DB" w:rsidRPr="008840D2" w:rsidRDefault="006219DB" w:rsidP="007008AA">
      <w:pPr>
        <w:pBdr>
          <w:top w:val="nil"/>
          <w:left w:val="nil"/>
          <w:bottom w:val="nil"/>
          <w:right w:val="nil"/>
          <w:between w:val="nil"/>
        </w:pBdr>
        <w:jc w:val="left"/>
        <w:rPr>
          <w:color w:val="000000"/>
          <w:szCs w:val="24"/>
          <w:lang w:val="en-US"/>
        </w:rPr>
        <w:sectPr w:rsidR="006219DB" w:rsidRPr="008840D2" w:rsidSect="00E240FD">
          <w:pgSz w:w="11910" w:h="16840"/>
          <w:pgMar w:top="1701" w:right="1701" w:bottom="1701" w:left="1701" w:header="0" w:footer="1094" w:gutter="0"/>
          <w:cols w:space="720"/>
          <w:docGrid w:linePitch="326"/>
        </w:sectPr>
      </w:pPr>
    </w:p>
    <w:p w14:paraId="000000F5" w14:textId="77777777" w:rsidR="003A1FEB" w:rsidRPr="008840D2" w:rsidRDefault="002844AC">
      <w:pPr>
        <w:pStyle w:val="Heading1"/>
        <w:numPr>
          <w:ilvl w:val="0"/>
          <w:numId w:val="1"/>
        </w:numPr>
        <w:tabs>
          <w:tab w:val="left" w:pos="444"/>
        </w:tabs>
        <w:ind w:left="444" w:hanging="279"/>
        <w:rPr>
          <w:lang w:val="en-US"/>
        </w:rPr>
      </w:pPr>
      <w:bookmarkStart w:id="39" w:name="_Toc227015002"/>
      <w:r>
        <w:rPr>
          <w:lang w:val="en-US"/>
        </w:rPr>
        <w:lastRenderedPageBreak/>
        <w:t>DISCUSSION</w:t>
      </w:r>
      <w:bookmarkEnd w:id="39"/>
    </w:p>
    <w:p w14:paraId="19359E00" w14:textId="614ADEFA" w:rsidR="00604DCB" w:rsidRPr="00604DCB" w:rsidRDefault="00604DCB" w:rsidP="00023CC3">
      <w:pPr>
        <w:pBdr>
          <w:top w:val="nil"/>
          <w:left w:val="nil"/>
          <w:bottom w:val="nil"/>
          <w:right w:val="nil"/>
          <w:between w:val="nil"/>
        </w:pBdr>
        <w:ind w:firstLine="720"/>
        <w:rPr>
          <w:color w:val="000000"/>
          <w:szCs w:val="24"/>
          <w:lang w:val="en-US"/>
        </w:rPr>
      </w:pPr>
      <w:r w:rsidRPr="00604DCB">
        <w:rPr>
          <w:color w:val="000000"/>
          <w:szCs w:val="24"/>
          <w:lang w:val="en-US"/>
        </w:rPr>
        <w:t xml:space="preserve">The descriptor profile shows that the formed set of VDR ligands occupies a chemically consistent, but not </w:t>
      </w:r>
      <w:r w:rsidR="00D7428B">
        <w:rPr>
          <w:color w:val="000000"/>
          <w:szCs w:val="24"/>
          <w:lang w:val="en-US"/>
        </w:rPr>
        <w:t>classically drug-like space</w:t>
      </w:r>
      <w:r w:rsidRPr="00604DCB">
        <w:rPr>
          <w:color w:val="000000"/>
          <w:szCs w:val="24"/>
          <w:lang w:val="en-US"/>
        </w:rPr>
        <w:t xml:space="preserve">. The narrow distributions of </w:t>
      </w:r>
      <w:r w:rsidR="00023CC3">
        <w:rPr>
          <w:color w:val="000000"/>
          <w:szCs w:val="24"/>
          <w:lang w:val="en-US"/>
        </w:rPr>
        <w:t>MW</w:t>
      </w:r>
      <w:r w:rsidRPr="00604DCB">
        <w:rPr>
          <w:color w:val="000000"/>
          <w:szCs w:val="24"/>
          <w:lang w:val="en-US"/>
        </w:rPr>
        <w:t xml:space="preserve">, the number of rings, </w:t>
      </w:r>
      <w:r w:rsidR="00023CC3">
        <w:rPr>
          <w:color w:val="000000"/>
          <w:szCs w:val="24"/>
          <w:lang w:val="en-US"/>
        </w:rPr>
        <w:t>HBA, HBD</w:t>
      </w:r>
      <w:r w:rsidRPr="00604DCB">
        <w:rPr>
          <w:color w:val="000000"/>
          <w:szCs w:val="24"/>
          <w:lang w:val="en-US"/>
        </w:rPr>
        <w:t xml:space="preserve">, as well as TPSA indicate that most compounds retain proximity to a common steroid-like framework. At the same time, the frequent violation of the Lipinsky threshold value of </w:t>
      </w:r>
      <w:proofErr w:type="spellStart"/>
      <w:r w:rsidRPr="00604DCB">
        <w:rPr>
          <w:color w:val="000000"/>
          <w:szCs w:val="24"/>
          <w:lang w:val="en-US"/>
        </w:rPr>
        <w:t>logP</w:t>
      </w:r>
      <w:proofErr w:type="spellEnd"/>
      <w:r w:rsidRPr="00604DCB">
        <w:rPr>
          <w:color w:val="000000"/>
          <w:szCs w:val="24"/>
          <w:lang w:val="en-US"/>
        </w:rPr>
        <w:t xml:space="preserve"> reflects not the disadvantages of data selection, but the inherent hydrophobicity of VDR ligands [9,25]. This is consistent with the lipophilic nature of the VDR binding pocket and the limited applicability of the rules of oral "drug-likeness" to steroid nuclear receptor ligands [26]. In this case, compliance with the </w:t>
      </w:r>
      <w:r w:rsidR="00023CC3">
        <w:rPr>
          <w:color w:val="000000"/>
          <w:szCs w:val="24"/>
          <w:lang w:val="en-US"/>
        </w:rPr>
        <w:t>V</w:t>
      </w:r>
      <w:r w:rsidRPr="00604DCB">
        <w:rPr>
          <w:color w:val="000000"/>
          <w:szCs w:val="24"/>
          <w:lang w:val="en-US"/>
        </w:rPr>
        <w:t xml:space="preserve">eber criteria is more informative, since it demonstrates that, despite the high </w:t>
      </w:r>
      <w:proofErr w:type="spellStart"/>
      <w:r w:rsidRPr="00604DCB">
        <w:rPr>
          <w:color w:val="000000"/>
          <w:szCs w:val="24"/>
          <w:lang w:val="en-US"/>
        </w:rPr>
        <w:t>logP</w:t>
      </w:r>
      <w:proofErr w:type="spellEnd"/>
      <w:r w:rsidRPr="00604DCB">
        <w:rPr>
          <w:color w:val="000000"/>
          <w:szCs w:val="24"/>
          <w:lang w:val="en-US"/>
        </w:rPr>
        <w:t>, most compounds retain an acceptable level of polarity and flexibility [27]. However, the analysis of descriptors alone does not allow distinguishing between favorable and unfavorable combinations of properties, since there is no data on biological activity and selectivity.</w:t>
      </w:r>
    </w:p>
    <w:p w14:paraId="137A9597" w14:textId="77DD53EE" w:rsidR="00604DCB" w:rsidRPr="00604DCB" w:rsidRDefault="00604DCB" w:rsidP="00E44902">
      <w:pPr>
        <w:pBdr>
          <w:top w:val="nil"/>
          <w:left w:val="nil"/>
          <w:bottom w:val="nil"/>
          <w:right w:val="nil"/>
          <w:between w:val="nil"/>
        </w:pBdr>
        <w:ind w:firstLine="720"/>
        <w:rPr>
          <w:color w:val="000000"/>
          <w:szCs w:val="24"/>
          <w:lang w:val="en-US"/>
        </w:rPr>
      </w:pPr>
      <w:r w:rsidRPr="00604DCB">
        <w:rPr>
          <w:color w:val="000000"/>
          <w:szCs w:val="24"/>
          <w:lang w:val="en-US"/>
        </w:rPr>
        <w:t>NP-likeness results serve as an internal verification of the correctness of the structural classification. The monotonous decrease in values from metabolites to analogues, hybrids, and non-</w:t>
      </w:r>
      <w:proofErr w:type="spellStart"/>
      <w:r w:rsidRPr="00604DCB">
        <w:rPr>
          <w:color w:val="000000"/>
          <w:szCs w:val="24"/>
          <w:lang w:val="en-US"/>
        </w:rPr>
        <w:t>secosteroid</w:t>
      </w:r>
      <w:r w:rsidR="00B6784B">
        <w:rPr>
          <w:color w:val="000000"/>
          <w:szCs w:val="24"/>
          <w:lang w:val="en-US"/>
        </w:rPr>
        <w:t>al</w:t>
      </w:r>
      <w:proofErr w:type="spellEnd"/>
      <w:r w:rsidRPr="00604DCB">
        <w:rPr>
          <w:color w:val="000000"/>
          <w:szCs w:val="24"/>
          <w:lang w:val="en-US"/>
        </w:rPr>
        <w:t xml:space="preserve"> ligands reflects a gradual </w:t>
      </w:r>
      <w:r w:rsidR="00B6784B">
        <w:rPr>
          <w:color w:val="000000"/>
          <w:szCs w:val="24"/>
          <w:lang w:val="en-US"/>
        </w:rPr>
        <w:t>shift</w:t>
      </w:r>
      <w:r w:rsidRPr="00604DCB">
        <w:rPr>
          <w:color w:val="000000"/>
          <w:szCs w:val="24"/>
          <w:lang w:val="en-US"/>
        </w:rPr>
        <w:t xml:space="preserve"> from the biosynthetically typical chemical space. </w:t>
      </w:r>
      <w:r w:rsidR="00035E99" w:rsidRPr="00035E99">
        <w:rPr>
          <w:color w:val="000000"/>
          <w:szCs w:val="24"/>
          <w:lang w:val="en-US"/>
        </w:rPr>
        <w:t xml:space="preserve">This </w:t>
      </w:r>
      <w:r w:rsidR="00035E99">
        <w:rPr>
          <w:color w:val="000000"/>
          <w:szCs w:val="24"/>
          <w:lang w:val="en-US"/>
        </w:rPr>
        <w:t>pattern</w:t>
      </w:r>
      <w:r w:rsidR="00035E99" w:rsidRPr="00035E99">
        <w:rPr>
          <w:color w:val="000000"/>
          <w:szCs w:val="24"/>
          <w:lang w:val="en-US"/>
        </w:rPr>
        <w:t xml:space="preserve"> is chemically expected, since metabolites retain a fragmented composition of endogenous vitamin D derivatives, while synthetic analogues and especially non-</w:t>
      </w:r>
      <w:proofErr w:type="spellStart"/>
      <w:r w:rsidR="00035E99" w:rsidRPr="00035E99">
        <w:rPr>
          <w:color w:val="000000"/>
          <w:szCs w:val="24"/>
          <w:lang w:val="en-US"/>
        </w:rPr>
        <w:t>secosteroid</w:t>
      </w:r>
      <w:r w:rsidR="008E5A88">
        <w:rPr>
          <w:color w:val="000000"/>
          <w:szCs w:val="24"/>
          <w:lang w:val="en-US"/>
        </w:rPr>
        <w:t>al</w:t>
      </w:r>
      <w:proofErr w:type="spellEnd"/>
      <w:r w:rsidR="00035E99" w:rsidRPr="00035E99">
        <w:rPr>
          <w:color w:val="000000"/>
          <w:szCs w:val="24"/>
          <w:lang w:val="en-US"/>
        </w:rPr>
        <w:t xml:space="preserve"> ligands are gradually moving away from the architecture of natural compounds.</w:t>
      </w:r>
      <w:r w:rsidR="00035E99">
        <w:rPr>
          <w:color w:val="000000"/>
          <w:szCs w:val="24"/>
          <w:lang w:val="ru-RU"/>
        </w:rPr>
        <w:t xml:space="preserve"> </w:t>
      </w:r>
      <w:r w:rsidRPr="00604DCB">
        <w:rPr>
          <w:color w:val="000000"/>
          <w:szCs w:val="24"/>
          <w:lang w:val="en-US"/>
        </w:rPr>
        <w:t>At the same time, the NP-score should not be interpreted as an indicator of biological "quality"</w:t>
      </w:r>
      <w:r w:rsidR="00E44902">
        <w:rPr>
          <w:color w:val="000000"/>
          <w:szCs w:val="24"/>
          <w:lang w:val="en-US"/>
        </w:rPr>
        <w:t>, as</w:t>
      </w:r>
      <w:r w:rsidRPr="00604DCB">
        <w:rPr>
          <w:color w:val="000000"/>
          <w:szCs w:val="24"/>
          <w:lang w:val="en-US"/>
        </w:rPr>
        <w:t xml:space="preserve"> it reflects the origin of the structure and the degree of its modification, rather than affinity to the receptor or effectiveness [28]. Its role in this analysis is confirmatory, not predictive.</w:t>
      </w:r>
    </w:p>
    <w:p w14:paraId="2E5610A5" w14:textId="44649B26" w:rsidR="00604DCB" w:rsidRPr="00604DCB" w:rsidRDefault="00604DCB" w:rsidP="00176854">
      <w:pPr>
        <w:pBdr>
          <w:top w:val="nil"/>
          <w:left w:val="nil"/>
          <w:bottom w:val="nil"/>
          <w:right w:val="nil"/>
          <w:between w:val="nil"/>
        </w:pBdr>
        <w:ind w:firstLine="720"/>
        <w:rPr>
          <w:color w:val="000000"/>
          <w:szCs w:val="24"/>
          <w:lang w:val="en-US"/>
        </w:rPr>
      </w:pPr>
      <w:r w:rsidRPr="00604DCB">
        <w:rPr>
          <w:color w:val="000000"/>
          <w:szCs w:val="24"/>
          <w:lang w:val="en-US"/>
        </w:rPr>
        <w:t xml:space="preserve">The most significant result is the dependence of the similarity score on the type of molecular fingerprints. The topological fingerprints of </w:t>
      </w:r>
      <w:proofErr w:type="spellStart"/>
      <w:r w:rsidRPr="00604DCB">
        <w:rPr>
          <w:color w:val="000000"/>
          <w:szCs w:val="24"/>
          <w:lang w:val="en-US"/>
        </w:rPr>
        <w:t>RDKit</w:t>
      </w:r>
      <w:proofErr w:type="spellEnd"/>
      <w:r w:rsidRPr="00604DCB">
        <w:rPr>
          <w:color w:val="000000"/>
          <w:szCs w:val="24"/>
          <w:lang w:val="en-US"/>
        </w:rPr>
        <w:t xml:space="preserve"> describe the library as relatively compact, whereas ECFP4 and especially ECFP6 reveal significantly greater heterogeneity. </w:t>
      </w:r>
      <w:r w:rsidR="00E44902">
        <w:rPr>
          <w:color w:val="000000"/>
          <w:szCs w:val="24"/>
          <w:lang w:val="en-US"/>
        </w:rPr>
        <w:t xml:space="preserve">This is not a contradiction but a direct consequence of descriptor design. Path-based fingerprints emphasize overall topology and therefore smooth over many local substitutions, whereas circular fingerprints capture local atomic environments and are more sensitive to the kinds of changes that dominate VDR analog chemistry, including side-chain remodeling, heteroatom replacement, and local stereochemical variation [29]. </w:t>
      </w:r>
      <w:r w:rsidRPr="00604DCB">
        <w:rPr>
          <w:color w:val="000000"/>
          <w:szCs w:val="24"/>
          <w:lang w:val="en-US"/>
        </w:rPr>
        <w:lastRenderedPageBreak/>
        <w:t>A clearer division of categories when using ECFP4 in t-SNE and UMAP indicates that the main source of diversity in the set is precisely local substructural variations, rather than differences in the overall framework [21].</w:t>
      </w:r>
    </w:p>
    <w:p w14:paraId="6314CEB8" w14:textId="243D0298" w:rsidR="00604DCB" w:rsidRPr="00604DCB" w:rsidRDefault="00604DCB" w:rsidP="000F02CF">
      <w:pPr>
        <w:pBdr>
          <w:top w:val="nil"/>
          <w:left w:val="nil"/>
          <w:bottom w:val="nil"/>
          <w:right w:val="nil"/>
          <w:between w:val="nil"/>
        </w:pBdr>
        <w:ind w:firstLine="720"/>
        <w:rPr>
          <w:color w:val="000000"/>
          <w:szCs w:val="24"/>
          <w:lang w:val="en-US"/>
        </w:rPr>
      </w:pPr>
      <w:r w:rsidRPr="00604DCB">
        <w:rPr>
          <w:color w:val="000000"/>
          <w:szCs w:val="24"/>
          <w:lang w:val="en-US"/>
        </w:rPr>
        <w:t>Clustering results should be interpreted based on this observation. An increase in the similarity threshold leads to an increase in the "purity" of clusters, but at the same time to their fragmentation, an increase in the number of single connections and a decrease in cluster sizes. This means that highly homogeneous groups do exist, but they represent local regions rather than large chemotypes. Low values of ARI and NMI do not indicate inefficiency of Butina algorithm, but show that the initial categories (metabolites, analogues, hybrids, non-</w:t>
      </w:r>
      <w:proofErr w:type="spellStart"/>
      <w:r w:rsidRPr="00604DCB">
        <w:rPr>
          <w:color w:val="000000"/>
          <w:szCs w:val="24"/>
          <w:lang w:val="en-US"/>
        </w:rPr>
        <w:t>secosteroid</w:t>
      </w:r>
      <w:r w:rsidR="008E5A88">
        <w:rPr>
          <w:color w:val="000000"/>
          <w:szCs w:val="24"/>
          <w:lang w:val="en-US"/>
        </w:rPr>
        <w:t>al</w:t>
      </w:r>
      <w:proofErr w:type="spellEnd"/>
      <w:r w:rsidRPr="00604DCB">
        <w:rPr>
          <w:color w:val="000000"/>
          <w:szCs w:val="24"/>
          <w:lang w:val="en-US"/>
        </w:rPr>
        <w:t xml:space="preserve"> ligands) do not coincide with the structural classes determined by fingerprints. These categories partially reflect the origin and history of compound development, whereas unsupervised clustering captures direct structural proximity [29,30]. Their weak correspondence is thus an informative result.</w:t>
      </w:r>
    </w:p>
    <w:p w14:paraId="56467756" w14:textId="2E0A4A35" w:rsidR="00604DCB" w:rsidRPr="00604DCB" w:rsidRDefault="00604DCB" w:rsidP="00B62095">
      <w:pPr>
        <w:pBdr>
          <w:top w:val="nil"/>
          <w:left w:val="nil"/>
          <w:bottom w:val="nil"/>
          <w:right w:val="nil"/>
          <w:between w:val="nil"/>
        </w:pBdr>
        <w:ind w:firstLine="720"/>
        <w:rPr>
          <w:color w:val="000000"/>
          <w:szCs w:val="24"/>
          <w:lang w:val="en-US"/>
        </w:rPr>
      </w:pPr>
      <w:r w:rsidRPr="00604DCB">
        <w:rPr>
          <w:color w:val="000000"/>
          <w:szCs w:val="24"/>
          <w:lang w:val="en-US"/>
        </w:rPr>
        <w:t>This interpretation is supported by projections of the chemical space and the categorization of descriptors. Non-</w:t>
      </w:r>
      <w:proofErr w:type="spellStart"/>
      <w:r w:rsidRPr="00604DCB">
        <w:rPr>
          <w:color w:val="000000"/>
          <w:szCs w:val="24"/>
          <w:lang w:val="en-US"/>
        </w:rPr>
        <w:t>secosteroid</w:t>
      </w:r>
      <w:r w:rsidR="008E5A88">
        <w:rPr>
          <w:color w:val="000000"/>
          <w:szCs w:val="24"/>
          <w:lang w:val="en-US"/>
        </w:rPr>
        <w:t>al</w:t>
      </w:r>
      <w:proofErr w:type="spellEnd"/>
      <w:r w:rsidRPr="00604DCB">
        <w:rPr>
          <w:color w:val="000000"/>
          <w:szCs w:val="24"/>
          <w:lang w:val="en-US"/>
        </w:rPr>
        <w:t xml:space="preserve"> ligands consistently occupy a separate region and exhibit broader distributions in lipophilicity, number of heavy atoms, rotating bonds, and TPSA, indicating that they belong to an independent chemotype. At the same time, metabolites, analogues, and hybrids significantly overlap both in low-dimensional projections and in </w:t>
      </w:r>
      <w:proofErr w:type="spellStart"/>
      <w:r w:rsidRPr="00604DCB">
        <w:rPr>
          <w:color w:val="000000"/>
          <w:szCs w:val="24"/>
          <w:lang w:val="en-US"/>
        </w:rPr>
        <w:t>physico</w:t>
      </w:r>
      <w:proofErr w:type="spellEnd"/>
      <w:r w:rsidRPr="00604DCB">
        <w:rPr>
          <w:color w:val="000000"/>
          <w:szCs w:val="24"/>
          <w:lang w:val="en-US"/>
        </w:rPr>
        <w:t xml:space="preserve">-chemical characteristics. This overlap indicates that modifications of the </w:t>
      </w:r>
      <w:proofErr w:type="spellStart"/>
      <w:r w:rsidRPr="00604DCB">
        <w:rPr>
          <w:color w:val="000000"/>
          <w:szCs w:val="24"/>
          <w:lang w:val="en-US"/>
        </w:rPr>
        <w:t>secosteroid</w:t>
      </w:r>
      <w:proofErr w:type="spellEnd"/>
      <w:r w:rsidRPr="00604DCB">
        <w:rPr>
          <w:color w:val="000000"/>
          <w:szCs w:val="24"/>
          <w:lang w:val="en-US"/>
        </w:rPr>
        <w:t xml:space="preserve"> framework increase local diversity, but do not form clearly separated global chemotypes. Therefore, the most promising direction for the search for structurally new VDR modulators is not a further variation of the classical framework, but the study of a poorly represented field of non-</w:t>
      </w:r>
      <w:proofErr w:type="spellStart"/>
      <w:r w:rsidRPr="00604DCB">
        <w:rPr>
          <w:color w:val="000000"/>
          <w:szCs w:val="24"/>
          <w:lang w:val="en-US"/>
        </w:rPr>
        <w:t>secosteroid</w:t>
      </w:r>
      <w:r w:rsidR="008E5A88">
        <w:rPr>
          <w:color w:val="000000"/>
          <w:szCs w:val="24"/>
          <w:lang w:val="en-US"/>
        </w:rPr>
        <w:t>al</w:t>
      </w:r>
      <w:proofErr w:type="spellEnd"/>
      <w:r w:rsidRPr="00604DCB">
        <w:rPr>
          <w:color w:val="000000"/>
          <w:szCs w:val="24"/>
          <w:lang w:val="en-US"/>
        </w:rPr>
        <w:t xml:space="preserve"> compounds.</w:t>
      </w:r>
    </w:p>
    <w:p w14:paraId="5AF12DF1" w14:textId="7B3A119D" w:rsidR="00604DCB" w:rsidRPr="00604DCB" w:rsidRDefault="00604DCB" w:rsidP="00604DCB">
      <w:pPr>
        <w:pBdr>
          <w:top w:val="nil"/>
          <w:left w:val="nil"/>
          <w:bottom w:val="nil"/>
          <w:right w:val="nil"/>
          <w:between w:val="nil"/>
        </w:pBdr>
        <w:ind w:firstLine="720"/>
        <w:rPr>
          <w:color w:val="000000"/>
          <w:szCs w:val="24"/>
          <w:lang w:val="en-US"/>
        </w:rPr>
      </w:pPr>
      <w:r w:rsidRPr="00604DCB">
        <w:rPr>
          <w:color w:val="000000"/>
          <w:szCs w:val="24"/>
          <w:lang w:val="en-US"/>
        </w:rPr>
        <w:t xml:space="preserve">The main limitation of this study is the use of exclusively two-dimensional representations of molecules. In addition, the comparison with PubChem data was limited by the database coverage: 423 out of 962 compounds were not found, which narrowed the analysis to a subset of the data. In the absence of integrated annotations of biological activity and three-dimensional receptor-oriented analysis, this work makes it possible to describe the structural organization of the </w:t>
      </w:r>
      <w:r w:rsidR="008E5A88" w:rsidRPr="00604DCB">
        <w:rPr>
          <w:color w:val="000000"/>
          <w:szCs w:val="24"/>
          <w:lang w:val="en-US"/>
        </w:rPr>
        <w:t>library but</w:t>
      </w:r>
      <w:r w:rsidRPr="00604DCB">
        <w:rPr>
          <w:color w:val="000000"/>
          <w:szCs w:val="24"/>
          <w:lang w:val="en-US"/>
        </w:rPr>
        <w:t xml:space="preserve"> does not make it possible to determine which clusters correspond to different pharmacological effects [9, 31].</w:t>
      </w:r>
    </w:p>
    <w:p w14:paraId="4DD27C75" w14:textId="77777777" w:rsidR="003A1FEB" w:rsidRDefault="003A1FEB">
      <w:pPr>
        <w:pBdr>
          <w:top w:val="nil"/>
          <w:left w:val="nil"/>
          <w:bottom w:val="nil"/>
          <w:right w:val="nil"/>
          <w:between w:val="nil"/>
        </w:pBdr>
        <w:spacing w:before="253"/>
        <w:ind w:firstLine="720"/>
        <w:rPr>
          <w:color w:val="000000"/>
          <w:sz w:val="28"/>
          <w:szCs w:val="28"/>
          <w:lang w:val="ru-RU"/>
        </w:rPr>
      </w:pPr>
    </w:p>
    <w:p w14:paraId="000000FB" w14:textId="6DCB0B35" w:rsidR="00604DCB" w:rsidRPr="00604DCB" w:rsidRDefault="00604DCB">
      <w:pPr>
        <w:pBdr>
          <w:top w:val="nil"/>
          <w:left w:val="nil"/>
          <w:bottom w:val="nil"/>
          <w:right w:val="nil"/>
          <w:between w:val="nil"/>
        </w:pBdr>
        <w:spacing w:before="253"/>
        <w:ind w:firstLine="720"/>
        <w:rPr>
          <w:color w:val="000000"/>
          <w:sz w:val="28"/>
          <w:szCs w:val="28"/>
          <w:lang w:val="ru-RU"/>
        </w:rPr>
        <w:sectPr w:rsidR="00604DCB" w:rsidRPr="00604DCB" w:rsidSect="00E240FD">
          <w:pgSz w:w="11910" w:h="16840"/>
          <w:pgMar w:top="1701" w:right="1701" w:bottom="1701" w:left="1701" w:header="0" w:footer="1097" w:gutter="0"/>
          <w:cols w:space="720"/>
          <w:docGrid w:linePitch="326"/>
        </w:sectPr>
      </w:pPr>
    </w:p>
    <w:p w14:paraId="000000FC" w14:textId="77777777" w:rsidR="003A1FEB" w:rsidRPr="008840D2" w:rsidRDefault="002844AC">
      <w:pPr>
        <w:pStyle w:val="Heading1"/>
        <w:numPr>
          <w:ilvl w:val="0"/>
          <w:numId w:val="1"/>
        </w:numPr>
        <w:tabs>
          <w:tab w:val="left" w:pos="444"/>
        </w:tabs>
        <w:ind w:left="444" w:hanging="279"/>
        <w:rPr>
          <w:lang w:val="en-US"/>
        </w:rPr>
      </w:pPr>
      <w:bookmarkStart w:id="40" w:name="_Toc227015003"/>
      <w:r>
        <w:rPr>
          <w:lang w:val="en-US"/>
        </w:rPr>
        <w:lastRenderedPageBreak/>
        <w:t>CONCLUSION</w:t>
      </w:r>
      <w:bookmarkEnd w:id="40"/>
    </w:p>
    <w:p w14:paraId="000000FD" w14:textId="768B5E46" w:rsidR="000B2EFB" w:rsidRPr="008840D2" w:rsidRDefault="000B2EFB" w:rsidP="000B2EFB">
      <w:pPr>
        <w:pBdr>
          <w:top w:val="nil"/>
          <w:left w:val="nil"/>
          <w:bottom w:val="nil"/>
          <w:right w:val="nil"/>
          <w:between w:val="nil"/>
        </w:pBdr>
        <w:ind w:firstLine="720"/>
        <w:rPr>
          <w:color w:val="000000"/>
          <w:szCs w:val="24"/>
          <w:lang w:val="en-US"/>
        </w:rPr>
        <w:sectPr w:rsidR="000B2EFB" w:rsidRPr="008840D2" w:rsidSect="00E240FD">
          <w:pgSz w:w="11910" w:h="16840"/>
          <w:pgMar w:top="1701" w:right="1701" w:bottom="1701" w:left="1701" w:header="0" w:footer="1097" w:gutter="0"/>
          <w:cols w:space="720"/>
          <w:docGrid w:linePitch="326"/>
        </w:sectPr>
      </w:pPr>
      <w:r w:rsidRPr="000B2EFB">
        <w:rPr>
          <w:color w:val="000000"/>
          <w:szCs w:val="24"/>
          <w:lang w:val="en-US"/>
        </w:rPr>
        <w:t>In this work, a standardized computational dataset was formed, including 962</w:t>
      </w:r>
      <w:r>
        <w:rPr>
          <w:color w:val="000000"/>
          <w:szCs w:val="24"/>
          <w:lang w:val="en-US"/>
        </w:rPr>
        <w:t xml:space="preserve"> </w:t>
      </w:r>
      <w:r w:rsidRPr="000B2EFB">
        <w:rPr>
          <w:color w:val="000000"/>
          <w:szCs w:val="24"/>
          <w:lang w:val="en-US"/>
        </w:rPr>
        <w:t xml:space="preserve">VDR ligands, and it was shown that their chemical space is compact but internally diverse, largely determined by the </w:t>
      </w:r>
      <w:proofErr w:type="spellStart"/>
      <w:r w:rsidRPr="000B2EFB">
        <w:rPr>
          <w:color w:val="000000"/>
          <w:szCs w:val="24"/>
          <w:lang w:val="en-US"/>
        </w:rPr>
        <w:t>secosteroid</w:t>
      </w:r>
      <w:proofErr w:type="spellEnd"/>
      <w:r w:rsidRPr="000B2EFB">
        <w:rPr>
          <w:color w:val="000000"/>
          <w:szCs w:val="24"/>
          <w:lang w:val="en-US"/>
        </w:rPr>
        <w:t xml:space="preserve"> framework. An analysis of the </w:t>
      </w:r>
      <w:proofErr w:type="spellStart"/>
      <w:r w:rsidRPr="000B2EFB">
        <w:rPr>
          <w:color w:val="000000"/>
          <w:szCs w:val="24"/>
          <w:lang w:val="en-US"/>
        </w:rPr>
        <w:t>physico</w:t>
      </w:r>
      <w:proofErr w:type="spellEnd"/>
      <w:r w:rsidRPr="000B2EFB">
        <w:rPr>
          <w:color w:val="000000"/>
          <w:szCs w:val="24"/>
          <w:lang w:val="en-US"/>
        </w:rPr>
        <w:t>-chemical properties confirmed that the dominant characteristic is increased lipophilicity, which is consistent with the geometry of the VDR binding pocket.</w:t>
      </w:r>
      <w:r>
        <w:rPr>
          <w:color w:val="000000"/>
          <w:szCs w:val="24"/>
          <w:lang w:val="en-US"/>
        </w:rPr>
        <w:t xml:space="preserve"> </w:t>
      </w:r>
      <w:r w:rsidRPr="000B2EFB">
        <w:rPr>
          <w:color w:val="000000"/>
          <w:szCs w:val="24"/>
          <w:lang w:val="en-US"/>
        </w:rPr>
        <w:t>The values of the NP-likeness</w:t>
      </w:r>
      <w:r w:rsidR="000C1FB8">
        <w:rPr>
          <w:color w:val="000000"/>
          <w:szCs w:val="24"/>
          <w:lang w:val="en-US"/>
        </w:rPr>
        <w:t xml:space="preserve"> </w:t>
      </w:r>
      <w:r w:rsidRPr="000B2EFB">
        <w:rPr>
          <w:color w:val="000000"/>
          <w:szCs w:val="24"/>
          <w:lang w:val="en-US"/>
        </w:rPr>
        <w:t>decreased monotonously from metabolites to non-</w:t>
      </w:r>
      <w:proofErr w:type="spellStart"/>
      <w:r w:rsidRPr="000B2EFB">
        <w:rPr>
          <w:color w:val="000000"/>
          <w:szCs w:val="24"/>
          <w:lang w:val="en-US"/>
        </w:rPr>
        <w:t>secosteroid</w:t>
      </w:r>
      <w:r w:rsidR="008E5A88">
        <w:rPr>
          <w:color w:val="000000"/>
          <w:szCs w:val="24"/>
          <w:lang w:val="en-US"/>
        </w:rPr>
        <w:t>al</w:t>
      </w:r>
      <w:proofErr w:type="spellEnd"/>
      <w:r w:rsidRPr="000B2EFB">
        <w:rPr>
          <w:color w:val="000000"/>
          <w:szCs w:val="24"/>
          <w:lang w:val="en-US"/>
        </w:rPr>
        <w:t xml:space="preserve"> ligands, which quantitatively confirms the proposed structural classification. Multifactorial analysis using different types of molecular fingerprints showed that ECFP-based representations better reflect structural heterogeneity compared to topological fingerprints, while ECFP4 provided the clearest separation of categories when visualizing chemical space.</w:t>
      </w:r>
      <w:r>
        <w:rPr>
          <w:color w:val="000000"/>
          <w:szCs w:val="24"/>
          <w:lang w:val="en-US"/>
        </w:rPr>
        <w:t xml:space="preserve"> </w:t>
      </w:r>
      <w:r w:rsidRPr="000B2EFB">
        <w:rPr>
          <w:color w:val="000000"/>
          <w:szCs w:val="24"/>
          <w:lang w:val="en-US"/>
        </w:rPr>
        <w:t>Clustering using Butina's algorithm demonstrated that traditional categories of ligands reflect the history of their development to a greater extent than their actual structural proximity, whereas non-</w:t>
      </w:r>
      <w:proofErr w:type="spellStart"/>
      <w:r w:rsidRPr="000B2EFB">
        <w:rPr>
          <w:color w:val="000000"/>
          <w:szCs w:val="24"/>
          <w:lang w:val="en-US"/>
        </w:rPr>
        <w:t>secosteroid</w:t>
      </w:r>
      <w:r w:rsidR="008E5A88">
        <w:rPr>
          <w:color w:val="000000"/>
          <w:szCs w:val="24"/>
          <w:lang w:val="en-US"/>
        </w:rPr>
        <w:t>al</w:t>
      </w:r>
      <w:proofErr w:type="spellEnd"/>
      <w:r w:rsidRPr="000B2EFB">
        <w:rPr>
          <w:color w:val="000000"/>
          <w:szCs w:val="24"/>
          <w:lang w:val="en-US"/>
        </w:rPr>
        <w:t xml:space="preserve"> ligands stand out as a truly independent and insufficiently studied chemotype.</w:t>
      </w:r>
      <w:r>
        <w:rPr>
          <w:color w:val="000000"/>
          <w:szCs w:val="24"/>
          <w:lang w:val="en-US"/>
        </w:rPr>
        <w:t xml:space="preserve"> </w:t>
      </w:r>
      <w:r w:rsidRPr="000B2EFB">
        <w:rPr>
          <w:color w:val="000000"/>
          <w:szCs w:val="24"/>
          <w:lang w:val="en-US"/>
        </w:rPr>
        <w:t>The main limitation of the study is the lack of annotations of biological activity, which does not allow us to directly establish the structure–activity relationship. The integration of quantitative data on biological activity is a key area for further research within the framework of the proposed approach.</w:t>
      </w:r>
    </w:p>
    <w:p w14:paraId="000000FF" w14:textId="004FF106" w:rsidR="003A1FEB" w:rsidRPr="008840D2" w:rsidRDefault="002844AC" w:rsidP="002E6F4C">
      <w:pPr>
        <w:pStyle w:val="Heading1"/>
        <w:tabs>
          <w:tab w:val="left" w:pos="444"/>
        </w:tabs>
        <w:ind w:left="165"/>
        <w:rPr>
          <w:lang w:val="en-US"/>
        </w:rPr>
      </w:pPr>
      <w:bookmarkStart w:id="41" w:name="_Toc227015004"/>
      <w:r>
        <w:rPr>
          <w:lang w:val="en-US"/>
        </w:rPr>
        <w:lastRenderedPageBreak/>
        <w:t>REFERENCES</w:t>
      </w:r>
      <w:bookmarkEnd w:id="41"/>
    </w:p>
    <w:p w14:paraId="00000100" w14:textId="77777777" w:rsidR="003A1FEB" w:rsidRPr="008840D2" w:rsidRDefault="002844AC">
      <w:pPr>
        <w:ind w:left="640" w:hanging="640"/>
        <w:rPr>
          <w:szCs w:val="24"/>
          <w:lang w:val="en-US"/>
        </w:rPr>
      </w:pPr>
      <w:r>
        <w:rPr>
          <w:szCs w:val="24"/>
          <w:lang w:val="en-US"/>
        </w:rPr>
        <w:t>[1]</w:t>
      </w:r>
      <w:r>
        <w:rPr>
          <w:szCs w:val="24"/>
          <w:lang w:val="en-US"/>
        </w:rPr>
        <w:tab/>
        <w:t>M.F. Holick, Vitamin D Deficiency, N. Engl. J. Med. 357 (2007) 266–281. https://doi.org/10.1056/NEJMra070553.</w:t>
      </w:r>
    </w:p>
    <w:p w14:paraId="00000101" w14:textId="77777777" w:rsidR="003A1FEB" w:rsidRPr="008840D2" w:rsidRDefault="002844AC">
      <w:pPr>
        <w:ind w:left="640" w:hanging="640"/>
        <w:rPr>
          <w:szCs w:val="24"/>
          <w:lang w:val="en-US"/>
        </w:rPr>
      </w:pPr>
      <w:r>
        <w:rPr>
          <w:szCs w:val="24"/>
          <w:lang w:val="en-US"/>
        </w:rPr>
        <w:t>[2]</w:t>
      </w:r>
      <w:r>
        <w:rPr>
          <w:szCs w:val="24"/>
          <w:lang w:val="en-US"/>
        </w:rPr>
        <w:tab/>
        <w:t xml:space="preserve">T. Khanna, R. Shraim, M. Zarkovic, M. van Weele, J. van Geffen, L. </w:t>
      </w:r>
      <w:proofErr w:type="spellStart"/>
      <w:r>
        <w:rPr>
          <w:szCs w:val="24"/>
          <w:lang w:val="en-US"/>
        </w:rPr>
        <w:t>Zgaga</w:t>
      </w:r>
      <w:proofErr w:type="spellEnd"/>
      <w:r>
        <w:rPr>
          <w:szCs w:val="24"/>
          <w:lang w:val="en-US"/>
        </w:rPr>
        <w:t>, Comprehensive Analysis of Seasonal and Geographical Variation in UVB Radiation Relevant for Vitamin D Production in Europe, Nutrients. 14 (2022) 5189. https://doi.org/10.3390/nu14235189.</w:t>
      </w:r>
    </w:p>
    <w:p w14:paraId="00000102" w14:textId="77777777" w:rsidR="003A1FEB" w:rsidRPr="008840D2" w:rsidRDefault="002844AC">
      <w:pPr>
        <w:ind w:left="640" w:hanging="640"/>
        <w:rPr>
          <w:szCs w:val="24"/>
          <w:lang w:val="en-US"/>
        </w:rPr>
      </w:pPr>
      <w:r>
        <w:rPr>
          <w:szCs w:val="24"/>
          <w:lang w:val="en-US"/>
        </w:rPr>
        <w:t>[3]</w:t>
      </w:r>
      <w:r>
        <w:rPr>
          <w:szCs w:val="24"/>
          <w:lang w:val="en-US"/>
        </w:rPr>
        <w:tab/>
        <w:t xml:space="preserve">C. Carlberg, F. Molnár, Vitamin D receptor signaling and its therapeutic implications: Genome-wide and structural view, Can. J. Physiol. </w:t>
      </w:r>
      <w:proofErr w:type="spellStart"/>
      <w:r>
        <w:rPr>
          <w:szCs w:val="24"/>
          <w:lang w:val="en-US"/>
        </w:rPr>
        <w:t>Pharmacol</w:t>
      </w:r>
      <w:proofErr w:type="spellEnd"/>
      <w:r>
        <w:rPr>
          <w:szCs w:val="24"/>
          <w:lang w:val="en-US"/>
        </w:rPr>
        <w:t>. 93 (2015) 311–318. https://doi.org/10.1139/cjpp-2014-0383.</w:t>
      </w:r>
    </w:p>
    <w:p w14:paraId="00000103" w14:textId="77777777" w:rsidR="003A1FEB" w:rsidRPr="008840D2" w:rsidRDefault="002844AC">
      <w:pPr>
        <w:ind w:left="640" w:hanging="640"/>
        <w:rPr>
          <w:szCs w:val="24"/>
          <w:lang w:val="en-US"/>
        </w:rPr>
      </w:pPr>
      <w:r>
        <w:rPr>
          <w:szCs w:val="24"/>
          <w:lang w:val="en-US"/>
        </w:rPr>
        <w:t>[4]</w:t>
      </w:r>
      <w:r>
        <w:rPr>
          <w:szCs w:val="24"/>
          <w:lang w:val="en-US"/>
        </w:rPr>
        <w:tab/>
        <w:t>H. Wang, W. Chen, D. Li, X. Yin, X. Zhang, N. Olsen, S.G. Zheng, Vitamin D and Chronic Diseases, Aging Dis. 8 (2017) 346. https://doi.org/10.14336/AD.2016.1021.</w:t>
      </w:r>
    </w:p>
    <w:p w14:paraId="00000104" w14:textId="77777777" w:rsidR="003A1FEB" w:rsidRPr="008840D2" w:rsidRDefault="002844AC">
      <w:pPr>
        <w:ind w:left="640" w:hanging="640"/>
        <w:rPr>
          <w:szCs w:val="24"/>
          <w:lang w:val="en-US"/>
        </w:rPr>
      </w:pPr>
      <w:r>
        <w:rPr>
          <w:szCs w:val="24"/>
          <w:lang w:val="en-US"/>
        </w:rPr>
        <w:t>[5]</w:t>
      </w:r>
      <w:r>
        <w:rPr>
          <w:szCs w:val="24"/>
          <w:lang w:val="en-US"/>
        </w:rPr>
        <w:tab/>
        <w:t xml:space="preserve">R. Patel, Nandini, H. </w:t>
      </w:r>
      <w:proofErr w:type="spellStart"/>
      <w:r>
        <w:rPr>
          <w:szCs w:val="24"/>
          <w:lang w:val="en-US"/>
        </w:rPr>
        <w:t>Kharkwal</w:t>
      </w:r>
      <w:proofErr w:type="spellEnd"/>
      <w:r>
        <w:rPr>
          <w:szCs w:val="24"/>
          <w:lang w:val="en-US"/>
        </w:rPr>
        <w:t>, M. Saha, M. Sankaranarayanan, S. Sharma, S. Chander, Recent Advancements Towards the Use of Vitamin D Isoforms and the Development of Their Synthetic Analogues as New Therapeutics, Biomedicines. 13 (2025) 1002. https://doi.org/10.3390/biomedicines13041002.</w:t>
      </w:r>
    </w:p>
    <w:p w14:paraId="00000105" w14:textId="77777777" w:rsidR="003A1FEB" w:rsidRPr="008840D2" w:rsidRDefault="002844AC">
      <w:pPr>
        <w:ind w:left="640" w:hanging="640"/>
        <w:rPr>
          <w:szCs w:val="24"/>
          <w:lang w:val="en-US"/>
        </w:rPr>
      </w:pPr>
      <w:r>
        <w:rPr>
          <w:szCs w:val="24"/>
          <w:lang w:val="en-US"/>
        </w:rPr>
        <w:t>[6]</w:t>
      </w:r>
      <w:r>
        <w:rPr>
          <w:szCs w:val="24"/>
          <w:lang w:val="en-US"/>
        </w:rPr>
        <w:tab/>
        <w:t xml:space="preserve">J.W. Pike, M.B. Meyer, S.-M. Lee, M. Onal, N.A. </w:t>
      </w:r>
      <w:proofErr w:type="spellStart"/>
      <w:r>
        <w:rPr>
          <w:szCs w:val="24"/>
          <w:lang w:val="en-US"/>
        </w:rPr>
        <w:t>Benkusky</w:t>
      </w:r>
      <w:proofErr w:type="spellEnd"/>
      <w:r>
        <w:rPr>
          <w:szCs w:val="24"/>
          <w:lang w:val="en-US"/>
        </w:rPr>
        <w:t xml:space="preserve">, </w:t>
      </w:r>
      <w:proofErr w:type="gramStart"/>
      <w:r>
        <w:rPr>
          <w:szCs w:val="24"/>
          <w:lang w:val="en-US"/>
        </w:rPr>
        <w:t>The</w:t>
      </w:r>
      <w:proofErr w:type="gramEnd"/>
      <w:r>
        <w:rPr>
          <w:szCs w:val="24"/>
          <w:lang w:val="en-US"/>
        </w:rPr>
        <w:t xml:space="preserve"> vitamin D receptor: contemporary genomic approaches reveal new basic and translational insights, J. Clin. Invest. 127 (2017) 1146–1154. https://doi.org/10.1172/JCI88887.</w:t>
      </w:r>
    </w:p>
    <w:p w14:paraId="00000106" w14:textId="77777777" w:rsidR="003A1FEB" w:rsidRPr="008840D2" w:rsidRDefault="002844AC">
      <w:pPr>
        <w:ind w:left="640" w:hanging="640"/>
        <w:rPr>
          <w:szCs w:val="24"/>
          <w:lang w:val="en-US"/>
        </w:rPr>
      </w:pPr>
      <w:r>
        <w:rPr>
          <w:szCs w:val="24"/>
          <w:lang w:val="en-US"/>
        </w:rPr>
        <w:t>[7]</w:t>
      </w:r>
      <w:r>
        <w:rPr>
          <w:szCs w:val="24"/>
          <w:lang w:val="en-US"/>
        </w:rPr>
        <w:tab/>
        <w:t>C. Carlberg, Vitamin D and Its Target Genes, Nutrients. 14 (2022) 1354. https://doi.org/10.3390/nu14071354.</w:t>
      </w:r>
    </w:p>
    <w:p w14:paraId="00000107" w14:textId="77777777" w:rsidR="003A1FEB" w:rsidRPr="008840D2" w:rsidRDefault="002844AC">
      <w:pPr>
        <w:ind w:left="640" w:hanging="640"/>
        <w:rPr>
          <w:szCs w:val="24"/>
          <w:lang w:val="en-US"/>
        </w:rPr>
      </w:pPr>
      <w:r>
        <w:rPr>
          <w:szCs w:val="24"/>
          <w:lang w:val="en-US"/>
        </w:rPr>
        <w:t>[8]</w:t>
      </w:r>
      <w:r>
        <w:rPr>
          <w:szCs w:val="24"/>
          <w:lang w:val="en-US"/>
        </w:rPr>
        <w:tab/>
        <w:t>N. Rochel, F. Molnár, Structural aspects of Vitamin D endocrinology, Mol. Cell. Endocrinol. 453 (2017) 22–35. https://doi.org/10.1016/j.mce.2017.02.046.</w:t>
      </w:r>
    </w:p>
    <w:p w14:paraId="00000108" w14:textId="77777777" w:rsidR="003A1FEB" w:rsidRPr="008840D2" w:rsidRDefault="002844AC">
      <w:pPr>
        <w:ind w:left="640" w:hanging="640"/>
        <w:rPr>
          <w:szCs w:val="24"/>
          <w:lang w:val="en-US"/>
        </w:rPr>
      </w:pPr>
      <w:r>
        <w:rPr>
          <w:szCs w:val="24"/>
          <w:lang w:val="en-US"/>
        </w:rPr>
        <w:t>[9]</w:t>
      </w:r>
      <w:r>
        <w:rPr>
          <w:szCs w:val="24"/>
          <w:lang w:val="en-US"/>
        </w:rPr>
        <w:tab/>
        <w:t>N. Rochel, Vitamin D and Its Receptor from a Structural Perspective, Nutrients. 14 (2022) 2847. https://doi.org/10.3390/nu14142847.</w:t>
      </w:r>
    </w:p>
    <w:p w14:paraId="00000109" w14:textId="77777777" w:rsidR="003A1FEB" w:rsidRPr="008840D2" w:rsidRDefault="002844AC">
      <w:pPr>
        <w:ind w:left="640" w:hanging="640"/>
        <w:rPr>
          <w:szCs w:val="24"/>
          <w:lang w:val="en-US"/>
        </w:rPr>
      </w:pPr>
      <w:r>
        <w:rPr>
          <w:szCs w:val="24"/>
          <w:lang w:val="en-US"/>
        </w:rPr>
        <w:t>[10]</w:t>
      </w:r>
      <w:r>
        <w:rPr>
          <w:szCs w:val="24"/>
          <w:lang w:val="en-US"/>
        </w:rPr>
        <w:tab/>
        <w:t xml:space="preserve">I. Orlov, N. Rochel, D. Moras, B.P. </w:t>
      </w:r>
      <w:proofErr w:type="spellStart"/>
      <w:r>
        <w:rPr>
          <w:szCs w:val="24"/>
          <w:lang w:val="en-US"/>
        </w:rPr>
        <w:t>Klaholz</w:t>
      </w:r>
      <w:proofErr w:type="spellEnd"/>
      <w:r>
        <w:rPr>
          <w:szCs w:val="24"/>
          <w:lang w:val="en-US"/>
        </w:rPr>
        <w:t>, Structure of the full human RXR/VDR nuclear receptor heterodimer complex with its DR3 target DNA, EMBO J. 31 (2012) 291–300. https://doi.org/10.1038/emboj.2011.445.</w:t>
      </w:r>
    </w:p>
    <w:p w14:paraId="0000010A" w14:textId="77777777" w:rsidR="003A1FEB" w:rsidRPr="008840D2" w:rsidRDefault="002844AC">
      <w:pPr>
        <w:ind w:left="640" w:hanging="640"/>
        <w:rPr>
          <w:szCs w:val="24"/>
          <w:lang w:val="en-US"/>
        </w:rPr>
      </w:pPr>
      <w:r>
        <w:rPr>
          <w:szCs w:val="24"/>
          <w:lang w:val="en-US"/>
        </w:rPr>
        <w:t>[11]</w:t>
      </w:r>
      <w:r>
        <w:rPr>
          <w:szCs w:val="24"/>
          <w:lang w:val="en-US"/>
        </w:rPr>
        <w:tab/>
        <w:t xml:space="preserve">P.L. Shaffer, D.P. McDonnell, D.T. </w:t>
      </w:r>
      <w:proofErr w:type="spellStart"/>
      <w:r>
        <w:rPr>
          <w:szCs w:val="24"/>
          <w:lang w:val="en-US"/>
        </w:rPr>
        <w:t>Gewirth</w:t>
      </w:r>
      <w:proofErr w:type="spellEnd"/>
      <w:r>
        <w:rPr>
          <w:szCs w:val="24"/>
          <w:lang w:val="en-US"/>
        </w:rPr>
        <w:t xml:space="preserve">, Characterization of Transcriptional Activation and DNA-Binding Functions in the Hinge Region of the Vitamin D Receptor, Biochemistry. 44 (2005) 2678–2685. </w:t>
      </w:r>
      <w:r>
        <w:rPr>
          <w:szCs w:val="24"/>
          <w:lang w:val="en-US"/>
        </w:rPr>
        <w:lastRenderedPageBreak/>
        <w:t>https://doi.org/10.1021/bi0477182.</w:t>
      </w:r>
    </w:p>
    <w:p w14:paraId="0000010B" w14:textId="77777777" w:rsidR="003A1FEB" w:rsidRPr="008840D2" w:rsidRDefault="002844AC">
      <w:pPr>
        <w:ind w:left="640" w:hanging="640"/>
        <w:rPr>
          <w:szCs w:val="24"/>
          <w:lang w:val="en-US"/>
        </w:rPr>
      </w:pPr>
      <w:r>
        <w:rPr>
          <w:szCs w:val="24"/>
          <w:lang w:val="en-US"/>
        </w:rPr>
        <w:t>[12]</w:t>
      </w:r>
      <w:r>
        <w:rPr>
          <w:szCs w:val="24"/>
          <w:lang w:val="en-US"/>
        </w:rPr>
        <w:tab/>
        <w:t>M.A. Maestro, S. Seoane, The Centennial Collection of VDR Ligands: Metabolites, Analogs, Hybrids and Non-</w:t>
      </w:r>
      <w:proofErr w:type="spellStart"/>
      <w:r>
        <w:rPr>
          <w:szCs w:val="24"/>
          <w:lang w:val="en-US"/>
        </w:rPr>
        <w:t>Secosteroidal</w:t>
      </w:r>
      <w:proofErr w:type="spellEnd"/>
      <w:r>
        <w:rPr>
          <w:szCs w:val="24"/>
          <w:lang w:val="en-US"/>
        </w:rPr>
        <w:t xml:space="preserve"> Ligands, Nutrients. 14 (2022) 4927. https://doi.org/10.3390/nu14224927.</w:t>
      </w:r>
    </w:p>
    <w:p w14:paraId="0000010C" w14:textId="77777777" w:rsidR="003A1FEB" w:rsidRPr="008840D2" w:rsidRDefault="002844AC">
      <w:pPr>
        <w:ind w:left="640" w:hanging="640"/>
        <w:rPr>
          <w:szCs w:val="24"/>
          <w:lang w:val="en-US"/>
        </w:rPr>
      </w:pPr>
      <w:r>
        <w:rPr>
          <w:szCs w:val="24"/>
          <w:lang w:val="en-US"/>
        </w:rPr>
        <w:t>[13]</w:t>
      </w:r>
      <w:r>
        <w:rPr>
          <w:szCs w:val="24"/>
          <w:lang w:val="en-US"/>
        </w:rPr>
        <w:tab/>
        <w:t>C. Carlberg, F. Molnar, Current Status of Vitamin D Signaling and Its Therapeutic Applications, Curr. Top. Med. Chem. 12 (2012) 528–547. https://doi.org/10.2174/156802612799436623.</w:t>
      </w:r>
    </w:p>
    <w:p w14:paraId="0000010D" w14:textId="77777777" w:rsidR="003A1FEB" w:rsidRPr="008840D2" w:rsidRDefault="002844AC">
      <w:pPr>
        <w:ind w:left="640" w:hanging="640"/>
        <w:rPr>
          <w:szCs w:val="24"/>
          <w:lang w:val="en-US"/>
        </w:rPr>
      </w:pPr>
      <w:r>
        <w:rPr>
          <w:szCs w:val="24"/>
          <w:lang w:val="en-US"/>
        </w:rPr>
        <w:t>[14]</w:t>
      </w:r>
      <w:r>
        <w:rPr>
          <w:szCs w:val="24"/>
          <w:lang w:val="en-US"/>
        </w:rPr>
        <w:tab/>
        <w:t>M.A. Maestro, F. Molnár, C. Carlberg, Vitamin D and Its Synthetic Analogs, J. Med. Chem. 62 (2019) 6854–6875. https://doi.org/10.1021/acs.jmedchem.9b00208.</w:t>
      </w:r>
    </w:p>
    <w:p w14:paraId="0000010E" w14:textId="77777777" w:rsidR="003A1FEB" w:rsidRPr="008840D2" w:rsidRDefault="002844AC">
      <w:pPr>
        <w:ind w:left="640" w:hanging="640"/>
        <w:rPr>
          <w:szCs w:val="24"/>
          <w:lang w:val="en-US"/>
        </w:rPr>
      </w:pPr>
      <w:r>
        <w:rPr>
          <w:szCs w:val="24"/>
          <w:lang w:val="en-US"/>
        </w:rPr>
        <w:t>[15]</w:t>
      </w:r>
      <w:r>
        <w:rPr>
          <w:szCs w:val="24"/>
          <w:lang w:val="en-US"/>
        </w:rPr>
        <w:tab/>
        <w:t xml:space="preserve">A.Y. </w:t>
      </w:r>
      <w:proofErr w:type="spellStart"/>
      <w:r>
        <w:rPr>
          <w:szCs w:val="24"/>
          <w:lang w:val="en-US"/>
        </w:rPr>
        <w:t>Belorusova</w:t>
      </w:r>
      <w:proofErr w:type="spellEnd"/>
      <w:r>
        <w:rPr>
          <w:szCs w:val="24"/>
          <w:lang w:val="en-US"/>
        </w:rPr>
        <w:t>, S. Chalhoub, D. Rovito, N. Rochel, Structural Analysis of VDR Complex with ZK168281 Antagonist, J. Med. Chem. 63 (2020) 9457–9463. https://doi.org/10.1021/acs.jmedchem.0c00656.</w:t>
      </w:r>
    </w:p>
    <w:p w14:paraId="0000010F" w14:textId="77777777" w:rsidR="003A1FEB" w:rsidRPr="008840D2" w:rsidRDefault="002844AC">
      <w:pPr>
        <w:ind w:left="640" w:hanging="640"/>
        <w:rPr>
          <w:szCs w:val="24"/>
          <w:lang w:val="en-US"/>
        </w:rPr>
      </w:pPr>
      <w:r>
        <w:rPr>
          <w:szCs w:val="24"/>
          <w:lang w:val="en-US"/>
        </w:rPr>
        <w:t>[16]</w:t>
      </w:r>
      <w:r>
        <w:rPr>
          <w:szCs w:val="24"/>
          <w:lang w:val="en-US"/>
        </w:rPr>
        <w:tab/>
        <w:t>L.L. Issa, G.M. Leong, R.L. Sutherland, J.A. Eisman, Vitamin D Analogue-Specific Recruitment of Vitamin D Receptor Coactivators, J. Bone Miner. Res. 17 (2002) 879–890. https://doi.org/10.1359/jbmr.2002.17.5.879.</w:t>
      </w:r>
    </w:p>
    <w:p w14:paraId="00000110" w14:textId="77777777" w:rsidR="003A1FEB" w:rsidRPr="008840D2" w:rsidRDefault="002844AC">
      <w:pPr>
        <w:ind w:left="640" w:hanging="640"/>
        <w:rPr>
          <w:szCs w:val="24"/>
          <w:lang w:val="en-US"/>
        </w:rPr>
      </w:pPr>
      <w:r>
        <w:rPr>
          <w:szCs w:val="24"/>
          <w:lang w:val="en-US"/>
        </w:rPr>
        <w:t>[17]</w:t>
      </w:r>
      <w:r>
        <w:rPr>
          <w:szCs w:val="24"/>
          <w:lang w:val="en-US"/>
        </w:rPr>
        <w:tab/>
        <w:t xml:space="preserve">R. Bouillon, L. Verlinden, G. Eelen, P. De Clercq, M. Vandewalle, C. Mathieu, A. </w:t>
      </w:r>
      <w:proofErr w:type="spellStart"/>
      <w:r>
        <w:rPr>
          <w:szCs w:val="24"/>
          <w:lang w:val="en-US"/>
        </w:rPr>
        <w:t>Verstuyf</w:t>
      </w:r>
      <w:proofErr w:type="spellEnd"/>
      <w:r>
        <w:rPr>
          <w:szCs w:val="24"/>
          <w:lang w:val="en-US"/>
        </w:rPr>
        <w:t xml:space="preserve">, Mechanisms for the selective action of Vitamin D analogs, J. Steroid </w:t>
      </w:r>
      <w:proofErr w:type="spellStart"/>
      <w:r>
        <w:rPr>
          <w:szCs w:val="24"/>
          <w:lang w:val="en-US"/>
        </w:rPr>
        <w:t>Biochem</w:t>
      </w:r>
      <w:proofErr w:type="spellEnd"/>
      <w:r>
        <w:rPr>
          <w:szCs w:val="24"/>
          <w:lang w:val="en-US"/>
        </w:rPr>
        <w:t>. Mol. Biol. 97 (2005) 21–30. https://doi.org/10.1016/j.jsbmb.2005.06.013.</w:t>
      </w:r>
    </w:p>
    <w:p w14:paraId="00000111" w14:textId="77777777" w:rsidR="003A1FEB" w:rsidRPr="008840D2" w:rsidRDefault="002844AC">
      <w:pPr>
        <w:ind w:left="640" w:hanging="640"/>
        <w:rPr>
          <w:szCs w:val="24"/>
          <w:lang w:val="en-US"/>
        </w:rPr>
      </w:pPr>
      <w:r>
        <w:rPr>
          <w:szCs w:val="24"/>
          <w:lang w:val="en-US"/>
        </w:rPr>
        <w:t>[18]</w:t>
      </w:r>
      <w:r>
        <w:rPr>
          <w:szCs w:val="24"/>
          <w:lang w:val="en-US"/>
        </w:rPr>
        <w:tab/>
        <w:t xml:space="preserve">Y. Ma, Identification and characterization of </w:t>
      </w:r>
      <w:proofErr w:type="spellStart"/>
      <w:r>
        <w:rPr>
          <w:szCs w:val="24"/>
          <w:lang w:val="en-US"/>
        </w:rPr>
        <w:t>noncalcemic</w:t>
      </w:r>
      <w:proofErr w:type="spellEnd"/>
      <w:r>
        <w:rPr>
          <w:szCs w:val="24"/>
          <w:lang w:val="en-US"/>
        </w:rPr>
        <w:t xml:space="preserve">, tissue-selective, </w:t>
      </w:r>
      <w:proofErr w:type="spellStart"/>
      <w:r>
        <w:rPr>
          <w:szCs w:val="24"/>
          <w:lang w:val="en-US"/>
        </w:rPr>
        <w:t>nonsecosteroidal</w:t>
      </w:r>
      <w:proofErr w:type="spellEnd"/>
      <w:r>
        <w:rPr>
          <w:szCs w:val="24"/>
          <w:lang w:val="en-US"/>
        </w:rPr>
        <w:t xml:space="preserve"> vitamin D receptor modulators, J. Clin. Invest. 116 (2006) 892–904. https://doi.org/10.1172/JCI25901.</w:t>
      </w:r>
    </w:p>
    <w:p w14:paraId="00000112" w14:textId="77777777" w:rsidR="003A1FEB" w:rsidRPr="008840D2" w:rsidRDefault="002844AC">
      <w:pPr>
        <w:ind w:left="640" w:hanging="640"/>
        <w:rPr>
          <w:szCs w:val="24"/>
          <w:lang w:val="en-US"/>
        </w:rPr>
      </w:pPr>
      <w:r>
        <w:rPr>
          <w:szCs w:val="24"/>
          <w:lang w:val="en-US"/>
        </w:rPr>
        <w:t>[19]</w:t>
      </w:r>
      <w:r>
        <w:rPr>
          <w:szCs w:val="24"/>
          <w:lang w:val="en-US"/>
        </w:rPr>
        <w:tab/>
        <w:t xml:space="preserve">R. Adachi, Y. Honma, H. </w:t>
      </w:r>
      <w:proofErr w:type="spellStart"/>
      <w:r>
        <w:rPr>
          <w:szCs w:val="24"/>
          <w:lang w:val="en-US"/>
        </w:rPr>
        <w:t>Masuno</w:t>
      </w:r>
      <w:proofErr w:type="spellEnd"/>
      <w:r>
        <w:rPr>
          <w:szCs w:val="24"/>
          <w:lang w:val="en-US"/>
        </w:rPr>
        <w:t>, K. Kawana, I. Shimomura, S. Yamada, M. Makishima, Selective activation of vitamin D receptor by lithocholic acid acetate, a bile acid derivative, J. Lipid Res. 46 (2005) 46–57. https://doi.org/10.1194/jlr.M400294-JLR200.</w:t>
      </w:r>
    </w:p>
    <w:p w14:paraId="00000113" w14:textId="77777777" w:rsidR="003A1FEB" w:rsidRPr="008840D2" w:rsidRDefault="002844AC">
      <w:pPr>
        <w:ind w:left="640" w:hanging="640"/>
        <w:rPr>
          <w:szCs w:val="24"/>
          <w:lang w:val="en-US"/>
        </w:rPr>
      </w:pPr>
      <w:r>
        <w:rPr>
          <w:szCs w:val="24"/>
          <w:lang w:val="en-US"/>
        </w:rPr>
        <w:t>[20]</w:t>
      </w:r>
      <w:r>
        <w:rPr>
          <w:szCs w:val="24"/>
          <w:lang w:val="en-US"/>
        </w:rPr>
        <w:tab/>
        <w:t>S. Nagamani, L. Jaiswal, G.N. Sastry, Deciphering the importance of MD descriptors in designing Vitamin D Receptor agonists and antagonists using machine learning, J. Mol. Graph. Model. 118 (2023) 108346. https://doi.org/10.1016/j.jmgm.2022.108346.</w:t>
      </w:r>
    </w:p>
    <w:p w14:paraId="00000114" w14:textId="77777777" w:rsidR="003A1FEB" w:rsidRPr="008840D2" w:rsidRDefault="002844AC">
      <w:pPr>
        <w:ind w:left="640" w:hanging="640"/>
        <w:rPr>
          <w:szCs w:val="24"/>
          <w:lang w:val="en-US"/>
        </w:rPr>
      </w:pPr>
      <w:r>
        <w:rPr>
          <w:szCs w:val="24"/>
          <w:lang w:val="en-US"/>
        </w:rPr>
        <w:t>[21]</w:t>
      </w:r>
      <w:r>
        <w:rPr>
          <w:szCs w:val="24"/>
          <w:lang w:val="en-US"/>
        </w:rPr>
        <w:tab/>
        <w:t xml:space="preserve">D. Rogers, M. Hahn, Extended-Connectivity Fingerprints, J. Chem. Inf. Model. 50 </w:t>
      </w:r>
      <w:r>
        <w:rPr>
          <w:szCs w:val="24"/>
          <w:lang w:val="en-US"/>
        </w:rPr>
        <w:lastRenderedPageBreak/>
        <w:t>(2010) 742–754. https://doi.org/10.1021/ci100050t.</w:t>
      </w:r>
    </w:p>
    <w:p w14:paraId="00000115" w14:textId="77777777" w:rsidR="003A1FEB" w:rsidRPr="008840D2" w:rsidRDefault="002844AC">
      <w:pPr>
        <w:ind w:left="640" w:hanging="640"/>
        <w:rPr>
          <w:szCs w:val="24"/>
          <w:lang w:val="en-US"/>
        </w:rPr>
      </w:pPr>
      <w:r>
        <w:rPr>
          <w:szCs w:val="24"/>
          <w:lang w:val="en-US"/>
        </w:rPr>
        <w:t>[22]</w:t>
      </w:r>
      <w:r>
        <w:rPr>
          <w:szCs w:val="24"/>
          <w:lang w:val="en-US"/>
        </w:rPr>
        <w:tab/>
        <w:t xml:space="preserve">S. </w:t>
      </w:r>
      <w:proofErr w:type="spellStart"/>
      <w:r>
        <w:rPr>
          <w:szCs w:val="24"/>
          <w:lang w:val="en-US"/>
        </w:rPr>
        <w:t>Sosnin</w:t>
      </w:r>
      <w:proofErr w:type="spellEnd"/>
      <w:r>
        <w:rPr>
          <w:szCs w:val="24"/>
          <w:lang w:val="en-US"/>
        </w:rPr>
        <w:t xml:space="preserve">, Chemical space visual navigation in the era of deep learning and Big Data, Drug </w:t>
      </w:r>
      <w:proofErr w:type="spellStart"/>
      <w:r>
        <w:rPr>
          <w:szCs w:val="24"/>
          <w:lang w:val="en-US"/>
        </w:rPr>
        <w:t>Discov</w:t>
      </w:r>
      <w:proofErr w:type="spellEnd"/>
      <w:r>
        <w:rPr>
          <w:szCs w:val="24"/>
          <w:lang w:val="en-US"/>
        </w:rPr>
        <w:t>. Today. 30 (2025) 104392. https://doi.org/10.1016/j.drudis.2025.104392.</w:t>
      </w:r>
    </w:p>
    <w:p w14:paraId="00000116" w14:textId="77777777" w:rsidR="003A1FEB" w:rsidRPr="008840D2" w:rsidRDefault="002844AC">
      <w:pPr>
        <w:ind w:left="640" w:hanging="640"/>
        <w:rPr>
          <w:szCs w:val="24"/>
          <w:lang w:val="en-US"/>
        </w:rPr>
      </w:pPr>
      <w:r>
        <w:rPr>
          <w:szCs w:val="24"/>
          <w:lang w:val="en-US"/>
        </w:rPr>
        <w:t>[23]</w:t>
      </w:r>
      <w:r>
        <w:rPr>
          <w:szCs w:val="24"/>
          <w:lang w:val="en-US"/>
        </w:rPr>
        <w:tab/>
        <w:t xml:space="preserve">R. Otero, S. Seoane, R. </w:t>
      </w:r>
      <w:proofErr w:type="spellStart"/>
      <w:r>
        <w:rPr>
          <w:szCs w:val="24"/>
          <w:lang w:val="en-US"/>
        </w:rPr>
        <w:t>Sigüeiro</w:t>
      </w:r>
      <w:proofErr w:type="spellEnd"/>
      <w:r>
        <w:rPr>
          <w:szCs w:val="24"/>
          <w:lang w:val="en-US"/>
        </w:rPr>
        <w:t xml:space="preserve">, A.Y. </w:t>
      </w:r>
      <w:proofErr w:type="spellStart"/>
      <w:r>
        <w:rPr>
          <w:szCs w:val="24"/>
          <w:lang w:val="en-US"/>
        </w:rPr>
        <w:t>Belorusova</w:t>
      </w:r>
      <w:proofErr w:type="spellEnd"/>
      <w:r>
        <w:rPr>
          <w:szCs w:val="24"/>
          <w:lang w:val="en-US"/>
        </w:rPr>
        <w:t xml:space="preserve">, M.A. Maestro, R. Pérez-Fernández, N. Rochel, A. </w:t>
      </w:r>
      <w:proofErr w:type="spellStart"/>
      <w:r>
        <w:rPr>
          <w:szCs w:val="24"/>
          <w:lang w:val="en-US"/>
        </w:rPr>
        <w:t>Mouriño</w:t>
      </w:r>
      <w:proofErr w:type="spellEnd"/>
      <w:r>
        <w:rPr>
          <w:szCs w:val="24"/>
          <w:lang w:val="en-US"/>
        </w:rPr>
        <w:t xml:space="preserve">, </w:t>
      </w:r>
      <w:proofErr w:type="spellStart"/>
      <w:r>
        <w:rPr>
          <w:szCs w:val="24"/>
          <w:lang w:val="en-US"/>
        </w:rPr>
        <w:t>Carborane</w:t>
      </w:r>
      <w:proofErr w:type="spellEnd"/>
      <w:r>
        <w:rPr>
          <w:szCs w:val="24"/>
          <w:lang w:val="en-US"/>
        </w:rPr>
        <w:t>-based design of a potent vitamin D receptor agonist, Chem. Sci. 7 (2016) 1033–1037. https://doi.org/10.1039/C5SC03084F.</w:t>
      </w:r>
    </w:p>
    <w:p w14:paraId="00000117" w14:textId="77777777" w:rsidR="003A1FEB" w:rsidRPr="008840D2" w:rsidRDefault="002844AC">
      <w:pPr>
        <w:ind w:left="640" w:hanging="640"/>
        <w:rPr>
          <w:szCs w:val="24"/>
          <w:lang w:val="en-US"/>
        </w:rPr>
      </w:pPr>
      <w:r>
        <w:rPr>
          <w:szCs w:val="24"/>
          <w:lang w:val="en-US"/>
        </w:rPr>
        <w:t>[24]</w:t>
      </w:r>
      <w:r>
        <w:rPr>
          <w:szCs w:val="24"/>
          <w:lang w:val="en-US"/>
        </w:rPr>
        <w:tab/>
        <w:t xml:space="preserve">J.M. Jayaraj, E. </w:t>
      </w:r>
      <w:proofErr w:type="spellStart"/>
      <w:r>
        <w:rPr>
          <w:szCs w:val="24"/>
          <w:lang w:val="en-US"/>
        </w:rPr>
        <w:t>Reteti</w:t>
      </w:r>
      <w:proofErr w:type="spellEnd"/>
      <w:r>
        <w:rPr>
          <w:szCs w:val="24"/>
          <w:lang w:val="en-US"/>
        </w:rPr>
        <w:t xml:space="preserve">, C. Kesavan, K. Muthusamy, Structural insights on vitamin D receptor and screening of new potent agonist molecules: structure and ligand-based approach, J. </w:t>
      </w:r>
      <w:proofErr w:type="spellStart"/>
      <w:r>
        <w:rPr>
          <w:szCs w:val="24"/>
          <w:lang w:val="en-US"/>
        </w:rPr>
        <w:t>Biomol</w:t>
      </w:r>
      <w:proofErr w:type="spellEnd"/>
      <w:r>
        <w:rPr>
          <w:szCs w:val="24"/>
          <w:lang w:val="en-US"/>
        </w:rPr>
        <w:t>. Struct. Dyn. 39 (2021) 4148–4159. https://doi.org/10.1080/07391102.2020.1775122.</w:t>
      </w:r>
    </w:p>
    <w:p w14:paraId="00000118" w14:textId="77777777" w:rsidR="003A1FEB" w:rsidRPr="008840D2" w:rsidRDefault="002844AC">
      <w:pPr>
        <w:ind w:left="640" w:hanging="640"/>
        <w:rPr>
          <w:szCs w:val="24"/>
          <w:lang w:val="en-US"/>
        </w:rPr>
      </w:pPr>
      <w:r>
        <w:rPr>
          <w:szCs w:val="24"/>
          <w:lang w:val="en-US"/>
        </w:rPr>
        <w:t>[25]</w:t>
      </w:r>
      <w:r>
        <w:rPr>
          <w:szCs w:val="24"/>
          <w:lang w:val="en-US"/>
        </w:rPr>
        <w:tab/>
        <w:t xml:space="preserve">C.A. Lipinski, Lead- and drug-like compounds: the rule-of-five revolution, Drug </w:t>
      </w:r>
      <w:proofErr w:type="spellStart"/>
      <w:r>
        <w:rPr>
          <w:szCs w:val="24"/>
          <w:lang w:val="en-US"/>
        </w:rPr>
        <w:t>Discov</w:t>
      </w:r>
      <w:proofErr w:type="spellEnd"/>
      <w:r>
        <w:rPr>
          <w:szCs w:val="24"/>
          <w:lang w:val="en-US"/>
        </w:rPr>
        <w:t>. Today Technol. 1 (2004) 337–341. https://doi.org/10.1016/j.ddtec.2004.11.007.</w:t>
      </w:r>
    </w:p>
    <w:p w14:paraId="00000119" w14:textId="77777777" w:rsidR="003A1FEB" w:rsidRPr="008840D2" w:rsidRDefault="002844AC">
      <w:pPr>
        <w:ind w:left="640" w:hanging="640"/>
        <w:rPr>
          <w:szCs w:val="24"/>
          <w:lang w:val="en-US"/>
        </w:rPr>
      </w:pPr>
      <w:r>
        <w:rPr>
          <w:szCs w:val="24"/>
          <w:lang w:val="en-US"/>
        </w:rPr>
        <w:t>[26]</w:t>
      </w:r>
      <w:r>
        <w:rPr>
          <w:szCs w:val="24"/>
          <w:lang w:val="en-US"/>
        </w:rPr>
        <w:tab/>
        <w:t xml:space="preserve">T.P. Burris, L.A. Solt, Y. Wang, C. Crumbley, S. Banerjee, K. Griffett, T. Lundasen, T. Hughes, D.J. Kojetin, Nuclear Receptors and Their Selective Pharmacologic Modulators, </w:t>
      </w:r>
      <w:proofErr w:type="spellStart"/>
      <w:r>
        <w:rPr>
          <w:szCs w:val="24"/>
          <w:lang w:val="en-US"/>
        </w:rPr>
        <w:t>Pharmacol</w:t>
      </w:r>
      <w:proofErr w:type="spellEnd"/>
      <w:r>
        <w:rPr>
          <w:szCs w:val="24"/>
          <w:lang w:val="en-US"/>
        </w:rPr>
        <w:t>. Rev. 65 (2013) 710–778. https://doi.org/10.1124/pr.112.006833.</w:t>
      </w:r>
    </w:p>
    <w:p w14:paraId="0000011A" w14:textId="77777777" w:rsidR="003A1FEB" w:rsidRPr="008840D2" w:rsidRDefault="002844AC">
      <w:pPr>
        <w:ind w:left="640" w:hanging="640"/>
        <w:rPr>
          <w:szCs w:val="24"/>
          <w:lang w:val="en-US"/>
        </w:rPr>
      </w:pPr>
      <w:r>
        <w:rPr>
          <w:szCs w:val="24"/>
          <w:lang w:val="en-US"/>
        </w:rPr>
        <w:t>[27]</w:t>
      </w:r>
      <w:r>
        <w:rPr>
          <w:szCs w:val="24"/>
          <w:lang w:val="en-US"/>
        </w:rPr>
        <w:tab/>
        <w:t>D.F. Veber, S.R. Johnson, H.-Y. Cheng, B.R. Smith, K.W. Ward, K.D. Kopple, Molecular Properties That Influence the Oral Bioavailability of Drug Candidates, J. Med. Chem. 45 (2002) 2615–2623. https://doi.org/10.1021/jm020017n.</w:t>
      </w:r>
    </w:p>
    <w:p w14:paraId="0000011B" w14:textId="77777777" w:rsidR="003A1FEB" w:rsidRPr="008840D2" w:rsidRDefault="002844AC">
      <w:pPr>
        <w:ind w:left="640" w:hanging="640"/>
        <w:rPr>
          <w:szCs w:val="24"/>
          <w:lang w:val="en-US"/>
        </w:rPr>
      </w:pPr>
      <w:r>
        <w:rPr>
          <w:szCs w:val="24"/>
          <w:lang w:val="en-US"/>
        </w:rPr>
        <w:t>[28]</w:t>
      </w:r>
      <w:r>
        <w:rPr>
          <w:szCs w:val="24"/>
          <w:lang w:val="en-US"/>
        </w:rPr>
        <w:tab/>
        <w:t xml:space="preserve">P. Ertl, S. </w:t>
      </w:r>
      <w:proofErr w:type="spellStart"/>
      <w:r>
        <w:rPr>
          <w:szCs w:val="24"/>
          <w:lang w:val="en-US"/>
        </w:rPr>
        <w:t>Roggo</w:t>
      </w:r>
      <w:proofErr w:type="spellEnd"/>
      <w:r>
        <w:rPr>
          <w:szCs w:val="24"/>
          <w:lang w:val="en-US"/>
        </w:rPr>
        <w:t>, A. Schuffenhauer, Natural Product-likeness Score and Its Application for Prioritization of Compound Libraries, J. Chem. Inf. Model. 48 (2008) 68–74. https://doi.org/10.1021/ci700286x.</w:t>
      </w:r>
    </w:p>
    <w:p w14:paraId="0000011C" w14:textId="77777777" w:rsidR="003A1FEB" w:rsidRPr="008840D2" w:rsidRDefault="002844AC">
      <w:pPr>
        <w:ind w:left="640" w:hanging="640"/>
        <w:rPr>
          <w:szCs w:val="24"/>
          <w:lang w:val="en-US"/>
        </w:rPr>
      </w:pPr>
      <w:r>
        <w:rPr>
          <w:szCs w:val="24"/>
          <w:lang w:val="en-US"/>
        </w:rPr>
        <w:t>[29]</w:t>
      </w:r>
      <w:r>
        <w:rPr>
          <w:szCs w:val="24"/>
          <w:lang w:val="en-US"/>
        </w:rPr>
        <w:tab/>
        <w:t>K. López-Pérez, J.F. Avellaneda-Tamayo, L. Chen, E. López-López, K.E. Juárez-Mercado, J.L. Medina-Franco, R.A. Miranda-</w:t>
      </w:r>
      <w:proofErr w:type="spellStart"/>
      <w:r>
        <w:rPr>
          <w:szCs w:val="24"/>
          <w:lang w:val="en-US"/>
        </w:rPr>
        <w:t>Quintana</w:t>
      </w:r>
      <w:proofErr w:type="spellEnd"/>
      <w:r>
        <w:rPr>
          <w:szCs w:val="24"/>
          <w:lang w:val="en-US"/>
        </w:rPr>
        <w:t xml:space="preserve">, Molecular similarity: Theory, applications, and perspectives, </w:t>
      </w:r>
      <w:proofErr w:type="spellStart"/>
      <w:r>
        <w:rPr>
          <w:szCs w:val="24"/>
          <w:lang w:val="en-US"/>
        </w:rPr>
        <w:t>Artif</w:t>
      </w:r>
      <w:proofErr w:type="spellEnd"/>
      <w:r>
        <w:rPr>
          <w:szCs w:val="24"/>
          <w:lang w:val="en-US"/>
        </w:rPr>
        <w:t>. Intell. Chem. 2 (2024) 100077. https://doi.org/10.1016/j.aichem.2024.100077.</w:t>
      </w:r>
    </w:p>
    <w:p w14:paraId="0000011D" w14:textId="77777777" w:rsidR="003A1FEB" w:rsidRPr="008840D2" w:rsidRDefault="002844AC">
      <w:pPr>
        <w:ind w:left="640" w:hanging="640"/>
        <w:rPr>
          <w:szCs w:val="24"/>
          <w:lang w:val="en-US"/>
        </w:rPr>
      </w:pPr>
      <w:r>
        <w:rPr>
          <w:szCs w:val="24"/>
          <w:lang w:val="en-US"/>
        </w:rPr>
        <w:t>[30]</w:t>
      </w:r>
      <w:r>
        <w:rPr>
          <w:szCs w:val="24"/>
          <w:lang w:val="en-US"/>
        </w:rPr>
        <w:tab/>
        <w:t xml:space="preserve">D. Butina, Unsupervised Data Base Clustering Based on Daylight’s Fingerprint and Tanimoto Similarity: A Fast and Automated Way </w:t>
      </w:r>
      <w:proofErr w:type="gramStart"/>
      <w:r>
        <w:rPr>
          <w:szCs w:val="24"/>
          <w:lang w:val="en-US"/>
        </w:rPr>
        <w:t>To</w:t>
      </w:r>
      <w:proofErr w:type="gramEnd"/>
      <w:r>
        <w:rPr>
          <w:szCs w:val="24"/>
          <w:lang w:val="en-US"/>
        </w:rPr>
        <w:t xml:space="preserve"> Cluster Small and Large Data Sets, J. Chem. Inf. </w:t>
      </w:r>
      <w:proofErr w:type="spellStart"/>
      <w:r>
        <w:rPr>
          <w:szCs w:val="24"/>
          <w:lang w:val="en-US"/>
        </w:rPr>
        <w:t>Comput</w:t>
      </w:r>
      <w:proofErr w:type="spellEnd"/>
      <w:r>
        <w:rPr>
          <w:szCs w:val="24"/>
          <w:lang w:val="en-US"/>
        </w:rPr>
        <w:t xml:space="preserve">. Sci. 39 (1999) 747–750. </w:t>
      </w:r>
      <w:r>
        <w:rPr>
          <w:szCs w:val="24"/>
          <w:lang w:val="en-US"/>
        </w:rPr>
        <w:lastRenderedPageBreak/>
        <w:t>https://doi.org/10.1021/ci9803381.</w:t>
      </w:r>
    </w:p>
    <w:p w14:paraId="0000011E" w14:textId="77777777" w:rsidR="003A1FEB" w:rsidRPr="008840D2" w:rsidRDefault="002844AC">
      <w:pPr>
        <w:ind w:left="640" w:hanging="640"/>
        <w:rPr>
          <w:szCs w:val="24"/>
          <w:lang w:val="en-US"/>
        </w:rPr>
      </w:pPr>
      <w:r>
        <w:rPr>
          <w:szCs w:val="24"/>
          <w:lang w:val="en-US"/>
        </w:rPr>
        <w:t>[31]</w:t>
      </w:r>
      <w:r>
        <w:rPr>
          <w:szCs w:val="24"/>
          <w:lang w:val="en-US"/>
        </w:rPr>
        <w:tab/>
        <w:t xml:space="preserve">H. </w:t>
      </w:r>
      <w:proofErr w:type="spellStart"/>
      <w:r>
        <w:rPr>
          <w:szCs w:val="24"/>
          <w:lang w:val="en-US"/>
        </w:rPr>
        <w:t>Masuno</w:t>
      </w:r>
      <w:proofErr w:type="spellEnd"/>
      <w:r>
        <w:rPr>
          <w:szCs w:val="24"/>
          <w:lang w:val="en-US"/>
        </w:rPr>
        <w:t xml:space="preserve">, T. Ikura, D. </w:t>
      </w:r>
      <w:proofErr w:type="spellStart"/>
      <w:r>
        <w:rPr>
          <w:szCs w:val="24"/>
          <w:lang w:val="en-US"/>
        </w:rPr>
        <w:t>Morizono</w:t>
      </w:r>
      <w:proofErr w:type="spellEnd"/>
      <w:r>
        <w:rPr>
          <w:szCs w:val="24"/>
          <w:lang w:val="en-US"/>
        </w:rPr>
        <w:t>, I. Orita, S. Yamada, M. Shimizu, N. Ito, Crystal structures of complexes of vitamin D receptor ligand-binding domain with lithocholic acid derivatives, J. Lipid Res. 54 (2013) 2206–2213. https://doi.org/10.1194/jlr.M038307.</w:t>
      </w:r>
    </w:p>
    <w:p w14:paraId="0000011F" w14:textId="77777777" w:rsidR="003A1FEB" w:rsidRPr="008840D2" w:rsidRDefault="003A1FEB">
      <w:pPr>
        <w:rPr>
          <w:szCs w:val="24"/>
          <w:lang w:val="en-US"/>
        </w:rPr>
      </w:pPr>
    </w:p>
    <w:p w14:paraId="00000120" w14:textId="77777777" w:rsidR="003A1FEB" w:rsidRPr="008840D2" w:rsidRDefault="003A1FEB">
      <w:pPr>
        <w:rPr>
          <w:szCs w:val="24"/>
          <w:lang w:val="en-US"/>
        </w:rPr>
      </w:pPr>
    </w:p>
    <w:p w14:paraId="00000121" w14:textId="3E72142B" w:rsidR="00B85FD5" w:rsidRPr="008840D2" w:rsidRDefault="00B85FD5">
      <w:pPr>
        <w:rPr>
          <w:color w:val="000000"/>
          <w:sz w:val="18"/>
          <w:szCs w:val="18"/>
          <w:lang w:val="en-US"/>
        </w:rPr>
      </w:pPr>
      <w:r>
        <w:rPr>
          <w:color w:val="000000"/>
          <w:sz w:val="18"/>
          <w:szCs w:val="18"/>
          <w:lang w:val="en-US"/>
        </w:rPr>
        <w:br w:type="page"/>
      </w:r>
    </w:p>
    <w:p w14:paraId="3F79D457" w14:textId="7E6FF723" w:rsidR="009D3A3E" w:rsidRPr="008840D2" w:rsidRDefault="009D3A3E" w:rsidP="009D3A3E">
      <w:pPr>
        <w:pStyle w:val="Heading1"/>
        <w:rPr>
          <w:lang w:val="en-US"/>
        </w:rPr>
      </w:pPr>
      <w:bookmarkStart w:id="42" w:name="_Toc227015005"/>
      <w:r>
        <w:rPr>
          <w:lang w:val="en-US"/>
        </w:rPr>
        <w:lastRenderedPageBreak/>
        <w:t>Appendix</w:t>
      </w:r>
      <w:bookmarkEnd w:id="42"/>
    </w:p>
    <w:p w14:paraId="601D091C" w14:textId="77777777" w:rsidR="009D3A3E" w:rsidRPr="008840D2" w:rsidRDefault="009D3A3E" w:rsidP="005C7BB4">
      <w:pPr>
        <w:rPr>
          <w:lang w:val="en-US"/>
        </w:rPr>
      </w:pPr>
    </w:p>
    <w:p w14:paraId="397C8A4A" w14:textId="33F6F5A0" w:rsidR="003A1FEB" w:rsidRPr="008840D2" w:rsidRDefault="00B85FD5" w:rsidP="00C95FA7">
      <w:pPr>
        <w:pStyle w:val="BodyText"/>
      </w:pPr>
      <w:r>
        <w:rPr>
          <w:b/>
          <w:bCs/>
        </w:rPr>
        <w:t>Table A1.</w:t>
      </w:r>
      <w:r>
        <w:t xml:space="preserve"> Shapiro–Wilk normality test for NP-score within each structural category</w:t>
      </w:r>
    </w:p>
    <w:p w14:paraId="1D027028" w14:textId="1834110B" w:rsidR="005C7BB4" w:rsidRPr="008840D2" w:rsidRDefault="005C7BB4" w:rsidP="007008AA">
      <w:pPr>
        <w:pStyle w:val="NoSpacing"/>
        <w:jc w:val="center"/>
        <w:rPr>
          <w:lang w:val="en-US"/>
        </w:rPr>
      </w:pPr>
      <w:r>
        <w:rPr>
          <w:noProof/>
          <w:lang w:val="en-US"/>
        </w:rPr>
        <w:drawing>
          <wp:inline distT="0" distB="0" distL="0" distR="0" wp14:anchorId="6CC3FFB4" wp14:editId="00CECA50">
            <wp:extent cx="5918200" cy="1149350"/>
            <wp:effectExtent l="0" t="0" r="6350" b="0"/>
            <wp:docPr id="110446220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918200" cy="1149350"/>
                    </a:xfrm>
                    <a:prstGeom prst="rect">
                      <a:avLst/>
                    </a:prstGeom>
                    <a:noFill/>
                    <a:ln>
                      <a:noFill/>
                    </a:ln>
                  </pic:spPr>
                </pic:pic>
              </a:graphicData>
            </a:graphic>
          </wp:inline>
        </w:drawing>
      </w:r>
    </w:p>
    <w:p w14:paraId="3964E321" w14:textId="77777777" w:rsidR="007008AA" w:rsidRPr="008840D2" w:rsidRDefault="007008AA" w:rsidP="007008AA">
      <w:pPr>
        <w:pStyle w:val="NoSpacing"/>
        <w:jc w:val="center"/>
        <w:rPr>
          <w:lang w:val="en-US"/>
        </w:rPr>
      </w:pPr>
    </w:p>
    <w:p w14:paraId="0F28BBBD" w14:textId="73D8AE1D" w:rsidR="005C7BB4" w:rsidRPr="008840D2" w:rsidRDefault="005C7BB4" w:rsidP="00C95FA7">
      <w:pPr>
        <w:pStyle w:val="BodyText"/>
      </w:pPr>
      <w:r>
        <w:rPr>
          <w:b/>
          <w:bCs/>
        </w:rPr>
        <w:t>Table A2.</w:t>
      </w:r>
      <w:r>
        <w:t xml:space="preserve"> Levene’s test for homogeneity of variance of NP-score across structural categories</w:t>
      </w:r>
    </w:p>
    <w:p w14:paraId="6CC1C6BA" w14:textId="03812F1C" w:rsidR="007008AA" w:rsidRPr="008840D2" w:rsidRDefault="005C7BB4" w:rsidP="00D6096F">
      <w:pPr>
        <w:pStyle w:val="NoSpacing"/>
        <w:ind w:left="-142"/>
        <w:jc w:val="center"/>
        <w:rPr>
          <w:color w:val="000000"/>
          <w:sz w:val="18"/>
          <w:szCs w:val="18"/>
          <w:lang w:val="en-US"/>
        </w:rPr>
      </w:pPr>
      <w:r>
        <w:rPr>
          <w:noProof/>
          <w:lang w:val="en-US"/>
        </w:rPr>
        <w:drawing>
          <wp:inline distT="0" distB="0" distL="0" distR="0" wp14:anchorId="40E00768" wp14:editId="2134B396">
            <wp:extent cx="6123305" cy="525145"/>
            <wp:effectExtent l="0" t="0" r="0" b="8255"/>
            <wp:docPr id="117411169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123305" cy="525145"/>
                    </a:xfrm>
                    <a:prstGeom prst="rect">
                      <a:avLst/>
                    </a:prstGeom>
                    <a:noFill/>
                    <a:ln>
                      <a:noFill/>
                    </a:ln>
                  </pic:spPr>
                </pic:pic>
              </a:graphicData>
            </a:graphic>
          </wp:inline>
        </w:drawing>
      </w:r>
    </w:p>
    <w:sectPr w:rsidR="007008AA" w:rsidRPr="008840D2" w:rsidSect="00E240FD">
      <w:pgSz w:w="11910" w:h="16840"/>
      <w:pgMar w:top="1701" w:right="1701" w:bottom="1701" w:left="1701" w:header="0" w:footer="109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25F416" w14:textId="77777777" w:rsidR="000E69A0" w:rsidRDefault="000E69A0">
      <w:r>
        <w:separator/>
      </w:r>
    </w:p>
  </w:endnote>
  <w:endnote w:type="continuationSeparator" w:id="0">
    <w:p w14:paraId="4501380D" w14:textId="77777777" w:rsidR="000E69A0" w:rsidRDefault="000E69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Vrinda">
    <w:panose1 w:val="00000400000000000000"/>
    <w:charset w:val="00"/>
    <w:family w:val="swiss"/>
    <w:pitch w:val="variable"/>
    <w:sig w:usb0="00010003" w:usb1="00000000" w:usb2="00000000" w:usb3="00000000" w:csb0="00000001" w:csb1="00000000"/>
    <w:embedRegular r:id="rId1" w:fontKey="{E478804D-CAB9-4F9F-A3E2-930AFD870DC8}"/>
    <w:embedItalic r:id="rId2" w:fontKey="{BADF6CB1-3892-48C8-AD6F-6FEAABBDBD0A}"/>
  </w:font>
  <w:font w:name="Cambria">
    <w:panose1 w:val="02040503050406030204"/>
    <w:charset w:val="CC"/>
    <w:family w:val="roman"/>
    <w:pitch w:val="variable"/>
    <w:sig w:usb0="E00006FF" w:usb1="420024FF" w:usb2="02000000" w:usb3="00000000" w:csb0="0000019F" w:csb1="00000000"/>
    <w:embedRegular r:id="rId3" w:fontKey="{7C4B3D8F-6390-4426-BE84-03459BE521BF}"/>
  </w:font>
  <w:font w:name="Georgia">
    <w:panose1 w:val="02040502050405020303"/>
    <w:charset w:val="CC"/>
    <w:family w:val="roman"/>
    <w:pitch w:val="variable"/>
    <w:sig w:usb0="00000287" w:usb1="00000000" w:usb2="00000000" w:usb3="00000000" w:csb0="0000009F" w:csb1="00000000"/>
    <w:embedItalic r:id="rId4" w:fontKey="{650112E3-23D0-44D0-BFEB-A4175BBAAE72}"/>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5" w:fontKey="{0F161357-04E2-439B-A691-838DA02B8A38}"/>
  </w:font>
  <w:font w:name="Cambria Math">
    <w:panose1 w:val="02040503050406030204"/>
    <w:charset w:val="CC"/>
    <w:family w:val="roman"/>
    <w:pitch w:val="variable"/>
    <w:sig w:usb0="E00006FF" w:usb1="420024FF" w:usb2="02000000" w:usb3="00000000" w:csb0="0000019F" w:csb1="00000000"/>
    <w:embedRegular r:id="rId6" w:fontKey="{0644B6C4-741F-40AD-9C4B-A50699D30DA1}"/>
    <w:embedItalic r:id="rId7" w:fontKey="{7EB33E15-659C-4D7C-9730-547C06DE8CE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5529553"/>
      <w:docPartObj>
        <w:docPartGallery w:val="Page Numbers (Bottom of Page)"/>
        <w:docPartUnique/>
      </w:docPartObj>
    </w:sdtPr>
    <w:sdtEndPr>
      <w:rPr>
        <w:noProof/>
      </w:rPr>
    </w:sdtEndPr>
    <w:sdtContent>
      <w:p w14:paraId="023AFE5E" w14:textId="4C6C62EA" w:rsidR="00DC76F7" w:rsidRDefault="00DC76F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0000122" w14:textId="3ADB182B" w:rsidR="003A1FEB" w:rsidRDefault="003A1FEB">
    <w:pPr>
      <w:pBdr>
        <w:top w:val="nil"/>
        <w:left w:val="nil"/>
        <w:bottom w:val="nil"/>
        <w:right w:val="nil"/>
        <w:between w:val="nil"/>
      </w:pBdr>
      <w:spacing w:line="14" w:lineRule="auto"/>
      <w:ind w:firstLine="720"/>
      <w:rPr>
        <w:color w:val="000000"/>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7002494"/>
      <w:docPartObj>
        <w:docPartGallery w:val="Page Numbers (Bottom of Page)"/>
        <w:docPartUnique/>
      </w:docPartObj>
    </w:sdtPr>
    <w:sdtEndPr>
      <w:rPr>
        <w:noProof/>
      </w:rPr>
    </w:sdtEndPr>
    <w:sdtContent>
      <w:p w14:paraId="00000124" w14:textId="0D4EB087" w:rsidR="003A1FEB" w:rsidRPr="0007339A" w:rsidRDefault="0007339A" w:rsidP="0007339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A4AC20" w14:textId="77777777" w:rsidR="000E69A0" w:rsidRDefault="000E69A0">
      <w:r>
        <w:separator/>
      </w:r>
    </w:p>
  </w:footnote>
  <w:footnote w:type="continuationSeparator" w:id="0">
    <w:p w14:paraId="6C73DD1B" w14:textId="77777777" w:rsidR="000E69A0" w:rsidRDefault="000E69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055C0A"/>
    <w:multiLevelType w:val="hybridMultilevel"/>
    <w:tmpl w:val="59103772"/>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4BD85EF6"/>
    <w:multiLevelType w:val="hybridMultilevel"/>
    <w:tmpl w:val="22F2F78A"/>
    <w:lvl w:ilvl="0" w:tplc="2000000F">
      <w:start w:val="1"/>
      <w:numFmt w:val="decimal"/>
      <w:lvlText w:val="%1."/>
      <w:lvlJc w:val="left"/>
      <w:pPr>
        <w:ind w:left="720" w:hanging="360"/>
      </w:pPr>
    </w:lvl>
    <w:lvl w:ilvl="1" w:tplc="047C777E">
      <w:start w:val="1"/>
      <w:numFmt w:val="lowerLetter"/>
      <w:lvlText w:val="(%2)"/>
      <w:lvlJc w:val="left"/>
      <w:pPr>
        <w:ind w:left="1450" w:hanging="370"/>
      </w:pPr>
      <w:rPr>
        <w:rFonts w:hint="default"/>
      </w:r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537C1425"/>
    <w:multiLevelType w:val="hybridMultilevel"/>
    <w:tmpl w:val="E2243884"/>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688500B7"/>
    <w:multiLevelType w:val="multilevel"/>
    <w:tmpl w:val="4CB2D03E"/>
    <w:lvl w:ilvl="0">
      <w:start w:val="1"/>
      <w:numFmt w:val="decimal"/>
      <w:lvlText w:val="%1."/>
      <w:lvlJc w:val="left"/>
      <w:pPr>
        <w:ind w:left="446" w:hanging="281"/>
      </w:pPr>
      <w:rPr>
        <w:rFonts w:ascii="Times New Roman" w:eastAsia="Times New Roman" w:hAnsi="Times New Roman" w:cs="Times New Roman"/>
        <w:b/>
        <w:bCs/>
        <w:i w:val="0"/>
        <w:iCs w:val="0"/>
        <w:sz w:val="28"/>
        <w:szCs w:val="28"/>
      </w:rPr>
    </w:lvl>
    <w:lvl w:ilvl="1">
      <w:start w:val="1"/>
      <w:numFmt w:val="decimal"/>
      <w:lvlText w:val="%1.%2"/>
      <w:lvlJc w:val="left"/>
      <w:pPr>
        <w:ind w:left="360" w:hanging="360"/>
      </w:pPr>
      <w:rPr>
        <w:rFonts w:ascii="Times New Roman" w:eastAsia="Times New Roman" w:hAnsi="Times New Roman" w:cs="Times New Roman"/>
        <w:b/>
        <w:bCs/>
        <w:i w:val="0"/>
        <w:iCs w:val="0"/>
        <w:sz w:val="24"/>
        <w:szCs w:val="24"/>
      </w:rPr>
    </w:lvl>
    <w:lvl w:ilvl="2">
      <w:numFmt w:val="bullet"/>
      <w:lvlText w:val="•"/>
      <w:lvlJc w:val="left"/>
      <w:pPr>
        <w:ind w:left="520" w:hanging="360"/>
      </w:pPr>
    </w:lvl>
    <w:lvl w:ilvl="3">
      <w:numFmt w:val="bullet"/>
      <w:lvlText w:val="•"/>
      <w:lvlJc w:val="left"/>
      <w:pPr>
        <w:ind w:left="1659" w:hanging="360"/>
      </w:pPr>
    </w:lvl>
    <w:lvl w:ilvl="4">
      <w:numFmt w:val="bullet"/>
      <w:lvlText w:val="•"/>
      <w:lvlJc w:val="left"/>
      <w:pPr>
        <w:ind w:left="2799" w:hanging="360"/>
      </w:pPr>
    </w:lvl>
    <w:lvl w:ilvl="5">
      <w:numFmt w:val="bullet"/>
      <w:lvlText w:val="•"/>
      <w:lvlJc w:val="left"/>
      <w:pPr>
        <w:ind w:left="3939" w:hanging="360"/>
      </w:pPr>
    </w:lvl>
    <w:lvl w:ilvl="6">
      <w:numFmt w:val="bullet"/>
      <w:lvlText w:val="•"/>
      <w:lvlJc w:val="left"/>
      <w:pPr>
        <w:ind w:left="5079" w:hanging="360"/>
      </w:pPr>
    </w:lvl>
    <w:lvl w:ilvl="7">
      <w:numFmt w:val="bullet"/>
      <w:lvlText w:val="•"/>
      <w:lvlJc w:val="left"/>
      <w:pPr>
        <w:ind w:left="6219" w:hanging="360"/>
      </w:pPr>
    </w:lvl>
    <w:lvl w:ilvl="8">
      <w:numFmt w:val="bullet"/>
      <w:lvlText w:val="•"/>
      <w:lvlJc w:val="left"/>
      <w:pPr>
        <w:ind w:left="7359" w:hanging="360"/>
      </w:pPr>
    </w:lvl>
  </w:abstractNum>
  <w:num w:numId="1" w16cid:durableId="671228376">
    <w:abstractNumId w:val="3"/>
  </w:num>
  <w:num w:numId="2" w16cid:durableId="1363164138">
    <w:abstractNumId w:val="1"/>
  </w:num>
  <w:num w:numId="3" w16cid:durableId="1222207236">
    <w:abstractNumId w:val="2"/>
  </w:num>
  <w:num w:numId="4" w16cid:durableId="6064988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8"/>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1FEB"/>
    <w:rsid w:val="00006024"/>
    <w:rsid w:val="000076F1"/>
    <w:rsid w:val="00017A7A"/>
    <w:rsid w:val="00023CC3"/>
    <w:rsid w:val="00035E99"/>
    <w:rsid w:val="000549C0"/>
    <w:rsid w:val="0007339A"/>
    <w:rsid w:val="000779DF"/>
    <w:rsid w:val="000839E0"/>
    <w:rsid w:val="000A3727"/>
    <w:rsid w:val="000B2EFB"/>
    <w:rsid w:val="000C1FB8"/>
    <w:rsid w:val="000E69A0"/>
    <w:rsid w:val="000F02CF"/>
    <w:rsid w:val="001173CD"/>
    <w:rsid w:val="0016250B"/>
    <w:rsid w:val="00176854"/>
    <w:rsid w:val="001D3875"/>
    <w:rsid w:val="00216F04"/>
    <w:rsid w:val="00225CF7"/>
    <w:rsid w:val="00236383"/>
    <w:rsid w:val="00236BFB"/>
    <w:rsid w:val="00244F39"/>
    <w:rsid w:val="002844AC"/>
    <w:rsid w:val="00296614"/>
    <w:rsid w:val="002B1207"/>
    <w:rsid w:val="002B3F6B"/>
    <w:rsid w:val="002E336A"/>
    <w:rsid w:val="002E6F4C"/>
    <w:rsid w:val="00320EBB"/>
    <w:rsid w:val="00326FF0"/>
    <w:rsid w:val="00345488"/>
    <w:rsid w:val="00367DA3"/>
    <w:rsid w:val="00377EAC"/>
    <w:rsid w:val="003A1FEB"/>
    <w:rsid w:val="003D5DBD"/>
    <w:rsid w:val="00400FB0"/>
    <w:rsid w:val="004815E1"/>
    <w:rsid w:val="004E6816"/>
    <w:rsid w:val="004E76DA"/>
    <w:rsid w:val="0050200A"/>
    <w:rsid w:val="0054563E"/>
    <w:rsid w:val="00572E17"/>
    <w:rsid w:val="00581229"/>
    <w:rsid w:val="005839B8"/>
    <w:rsid w:val="005B1D86"/>
    <w:rsid w:val="005C1942"/>
    <w:rsid w:val="005C7BB4"/>
    <w:rsid w:val="005D3DE3"/>
    <w:rsid w:val="005E01D6"/>
    <w:rsid w:val="005F4639"/>
    <w:rsid w:val="005F4EEB"/>
    <w:rsid w:val="006016CD"/>
    <w:rsid w:val="00604DCB"/>
    <w:rsid w:val="006219DB"/>
    <w:rsid w:val="00645FE3"/>
    <w:rsid w:val="00666416"/>
    <w:rsid w:val="007001BD"/>
    <w:rsid w:val="007008AA"/>
    <w:rsid w:val="0071186E"/>
    <w:rsid w:val="007317E6"/>
    <w:rsid w:val="007C19E1"/>
    <w:rsid w:val="007C2DB7"/>
    <w:rsid w:val="007C69D2"/>
    <w:rsid w:val="007D5BA1"/>
    <w:rsid w:val="007E0216"/>
    <w:rsid w:val="00803F87"/>
    <w:rsid w:val="008306D0"/>
    <w:rsid w:val="00832929"/>
    <w:rsid w:val="0084333B"/>
    <w:rsid w:val="00845B39"/>
    <w:rsid w:val="00850887"/>
    <w:rsid w:val="008553FB"/>
    <w:rsid w:val="008840D2"/>
    <w:rsid w:val="008C2CCB"/>
    <w:rsid w:val="008C50C1"/>
    <w:rsid w:val="008D087A"/>
    <w:rsid w:val="008E37DD"/>
    <w:rsid w:val="008E5A88"/>
    <w:rsid w:val="009440E3"/>
    <w:rsid w:val="00971F56"/>
    <w:rsid w:val="009B60E0"/>
    <w:rsid w:val="009C5EB9"/>
    <w:rsid w:val="009D3A3E"/>
    <w:rsid w:val="009D3B08"/>
    <w:rsid w:val="00A4151B"/>
    <w:rsid w:val="00A4171C"/>
    <w:rsid w:val="00A52EE7"/>
    <w:rsid w:val="00A61CF9"/>
    <w:rsid w:val="00A747D4"/>
    <w:rsid w:val="00AC358F"/>
    <w:rsid w:val="00AE1F58"/>
    <w:rsid w:val="00AE3CA8"/>
    <w:rsid w:val="00B36771"/>
    <w:rsid w:val="00B45EE1"/>
    <w:rsid w:val="00B62095"/>
    <w:rsid w:val="00B6784B"/>
    <w:rsid w:val="00B85FD5"/>
    <w:rsid w:val="00BC6443"/>
    <w:rsid w:val="00BF2386"/>
    <w:rsid w:val="00C31BEC"/>
    <w:rsid w:val="00C76CB0"/>
    <w:rsid w:val="00C818F4"/>
    <w:rsid w:val="00C86DB9"/>
    <w:rsid w:val="00C95FA7"/>
    <w:rsid w:val="00C963B4"/>
    <w:rsid w:val="00CA15D3"/>
    <w:rsid w:val="00CB159C"/>
    <w:rsid w:val="00D023DD"/>
    <w:rsid w:val="00D43E92"/>
    <w:rsid w:val="00D6096F"/>
    <w:rsid w:val="00D63442"/>
    <w:rsid w:val="00D7428B"/>
    <w:rsid w:val="00DA2326"/>
    <w:rsid w:val="00DC76F7"/>
    <w:rsid w:val="00DF4C94"/>
    <w:rsid w:val="00E013A8"/>
    <w:rsid w:val="00E240FD"/>
    <w:rsid w:val="00E44902"/>
    <w:rsid w:val="00E5107F"/>
    <w:rsid w:val="00E66044"/>
    <w:rsid w:val="00E90946"/>
    <w:rsid w:val="00EC11A7"/>
    <w:rsid w:val="00ED35A8"/>
    <w:rsid w:val="00F1043D"/>
    <w:rsid w:val="00F20B68"/>
    <w:rsid w:val="00F854DF"/>
    <w:rsid w:val="00FC5DD8"/>
    <w:rsid w:val="00FE4CCE"/>
    <w:rsid w:val="00FE5C8A"/>
  </w:rsids>
  <m:mathPr>
    <m:mathFont m:val="Cambria Math"/>
    <m:brkBin m:val="before"/>
    <m:brkBinSub m:val="--"/>
    <m:smallFrac m:val="0"/>
    <m:dispDef/>
    <m:lMargin m:val="0"/>
    <m:rMargin m:val="0"/>
    <m:defJc m:val="centerGroup"/>
    <m:wrapIndent m:val="1440"/>
    <m:intLim m:val="subSup"/>
    <m:naryLim m:val="undOvr"/>
  </m:mathPr>
  <w:themeFontLang w:val="ru-KZ" w:eastAsia="zh-CN"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B4CD8A"/>
  <w15:docId w15:val="{76D1C975-BA45-8F45-B7BB-441F058351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0FD"/>
    <w:pPr>
      <w:spacing w:line="360" w:lineRule="auto"/>
      <w:jc w:val="both"/>
    </w:pPr>
    <w:rPr>
      <w:sz w:val="24"/>
    </w:rPr>
  </w:style>
  <w:style w:type="paragraph" w:styleId="Heading1">
    <w:name w:val="heading 1"/>
    <w:basedOn w:val="Normal"/>
    <w:next w:val="Normal"/>
    <w:uiPriority w:val="9"/>
    <w:qFormat/>
    <w:rsid w:val="009D3A3E"/>
    <w:pPr>
      <w:spacing w:before="61" w:after="120"/>
      <w:ind w:left="164"/>
      <w:outlineLvl w:val="0"/>
    </w:pPr>
    <w:rPr>
      <w:b/>
      <w:bCs/>
      <w:caps/>
      <w:sz w:val="28"/>
      <w:szCs w:val="28"/>
    </w:rPr>
  </w:style>
  <w:style w:type="paragraph" w:styleId="Heading2">
    <w:name w:val="heading 2"/>
    <w:basedOn w:val="Normal"/>
    <w:next w:val="Normal"/>
    <w:uiPriority w:val="9"/>
    <w:unhideWhenUsed/>
    <w:qFormat/>
    <w:pPr>
      <w:spacing w:after="160"/>
      <w:outlineLvl w:val="1"/>
    </w:pPr>
    <w:rPr>
      <w:b/>
      <w:bCs/>
      <w:szCs w:val="24"/>
    </w:rPr>
  </w:style>
  <w:style w:type="paragraph" w:styleId="Heading3">
    <w:name w:val="heading 3"/>
    <w:basedOn w:val="Normal"/>
    <w:next w:val="Normal"/>
    <w:link w:val="Heading3Char"/>
    <w:uiPriority w:val="9"/>
    <w:unhideWhenUsed/>
    <w:qFormat/>
    <w:pPr>
      <w:keepNext/>
      <w:keepLines/>
      <w:outlineLvl w:val="2"/>
    </w:pPr>
    <w:rPr>
      <w:b/>
      <w:bCs/>
      <w:szCs w:val="24"/>
    </w:rPr>
  </w:style>
  <w:style w:type="paragraph" w:styleId="Heading4">
    <w:name w:val="heading 4"/>
    <w:basedOn w:val="Normal"/>
    <w:next w:val="Normal"/>
    <w:link w:val="Heading4Char"/>
    <w:uiPriority w:val="9"/>
    <w:unhideWhenUsed/>
    <w:qFormat/>
    <w:pPr>
      <w:keepNext/>
      <w:keepLines/>
      <w:spacing w:before="120"/>
      <w:outlineLvl w:val="3"/>
    </w:pPr>
    <w:rPr>
      <w:b/>
      <w:bCs/>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ind w:right="286"/>
      <w:jc w:val="center"/>
    </w:pPr>
    <w:rPr>
      <w:b/>
      <w:bCs/>
      <w:sz w:val="32"/>
      <w:szCs w:val="32"/>
    </w:rPr>
  </w:style>
  <w:style w:type="paragraph" w:styleId="TOC1">
    <w:name w:val="toc 1"/>
    <w:basedOn w:val="Normal"/>
    <w:uiPriority w:val="39"/>
    <w:qFormat/>
    <w:pPr>
      <w:spacing w:before="161"/>
      <w:ind w:left="444" w:hanging="279"/>
    </w:pPr>
    <w:rPr>
      <w:b/>
      <w:bCs/>
      <w:sz w:val="28"/>
      <w:szCs w:val="28"/>
    </w:rPr>
  </w:style>
  <w:style w:type="paragraph" w:styleId="TOC2">
    <w:name w:val="toc 2"/>
    <w:basedOn w:val="Normal"/>
    <w:uiPriority w:val="39"/>
    <w:qFormat/>
    <w:pPr>
      <w:spacing w:before="161"/>
      <w:ind w:left="165"/>
    </w:pPr>
    <w:rPr>
      <w:b/>
      <w:bCs/>
      <w:sz w:val="28"/>
      <w:szCs w:val="28"/>
    </w:rPr>
  </w:style>
  <w:style w:type="paragraph" w:styleId="TOC3">
    <w:name w:val="toc 3"/>
    <w:basedOn w:val="Normal"/>
    <w:uiPriority w:val="39"/>
    <w:qFormat/>
    <w:pPr>
      <w:spacing w:before="139"/>
      <w:ind w:left="446"/>
    </w:pPr>
    <w:rPr>
      <w:b/>
      <w:bCs/>
      <w:szCs w:val="24"/>
    </w:rPr>
  </w:style>
  <w:style w:type="paragraph" w:styleId="TOC4">
    <w:name w:val="toc 4"/>
    <w:basedOn w:val="Normal"/>
    <w:uiPriority w:val="1"/>
    <w:qFormat/>
    <w:pPr>
      <w:spacing w:before="137"/>
      <w:ind w:left="465"/>
    </w:pPr>
    <w:rPr>
      <w:b/>
      <w:bCs/>
      <w:szCs w:val="24"/>
    </w:rPr>
  </w:style>
  <w:style w:type="paragraph" w:styleId="BodyText">
    <w:name w:val="Body Text"/>
    <w:basedOn w:val="Normal"/>
    <w:link w:val="BodyTextChar"/>
    <w:autoRedefine/>
    <w:uiPriority w:val="1"/>
    <w:qFormat/>
    <w:rsid w:val="00C95FA7"/>
    <w:pPr>
      <w:ind w:firstLine="720"/>
    </w:pPr>
    <w:rPr>
      <w:szCs w:val="24"/>
      <w:lang w:val="en-US"/>
    </w:rPr>
  </w:style>
  <w:style w:type="paragraph" w:styleId="ListParagraph">
    <w:name w:val="List Paragraph"/>
    <w:basedOn w:val="Normal"/>
    <w:uiPriority w:val="1"/>
    <w:qFormat/>
    <w:pPr>
      <w:ind w:left="444" w:hanging="360"/>
    </w:pPr>
  </w:style>
  <w:style w:type="paragraph" w:customStyle="1" w:styleId="TableParagraph">
    <w:name w:val="Table Paragraph"/>
    <w:basedOn w:val="Normal"/>
    <w:uiPriority w:val="1"/>
    <w:qFormat/>
    <w:pPr>
      <w:spacing w:before="63"/>
      <w:ind w:left="50"/>
    </w:pPr>
  </w:style>
  <w:style w:type="paragraph" w:styleId="NoSpacing">
    <w:name w:val="No Spacing"/>
    <w:uiPriority w:val="1"/>
    <w:qFormat/>
    <w:rsid w:val="00F858F7"/>
    <w:pPr>
      <w:spacing w:line="360" w:lineRule="auto"/>
    </w:pPr>
    <w:rPr>
      <w:sz w:val="24"/>
    </w:rPr>
  </w:style>
  <w:style w:type="character" w:customStyle="1" w:styleId="Heading3Char">
    <w:name w:val="Heading 3 Char"/>
    <w:basedOn w:val="DefaultParagraphFont"/>
    <w:link w:val="Heading3"/>
    <w:uiPriority w:val="9"/>
    <w:rsid w:val="00FD0098"/>
    <w:rPr>
      <w:rFonts w:ascii="Times New Roman" w:eastAsiaTheme="majorEastAsia" w:hAnsi="Times New Roman" w:cstheme="majorBidi"/>
      <w:b/>
      <w:sz w:val="24"/>
      <w:szCs w:val="24"/>
    </w:rPr>
  </w:style>
  <w:style w:type="character" w:customStyle="1" w:styleId="BodyTextChar">
    <w:name w:val="Body Text Char"/>
    <w:basedOn w:val="DefaultParagraphFont"/>
    <w:link w:val="BodyText"/>
    <w:uiPriority w:val="1"/>
    <w:rsid w:val="00C95FA7"/>
    <w:rPr>
      <w:sz w:val="24"/>
      <w:szCs w:val="24"/>
      <w:lang w:val="en-US"/>
    </w:rPr>
  </w:style>
  <w:style w:type="character" w:customStyle="1" w:styleId="Heading4Char">
    <w:name w:val="Heading 4 Char"/>
    <w:basedOn w:val="DefaultParagraphFont"/>
    <w:link w:val="Heading4"/>
    <w:uiPriority w:val="9"/>
    <w:rsid w:val="00FD0098"/>
    <w:rPr>
      <w:rFonts w:ascii="Times New Roman" w:eastAsiaTheme="majorEastAsia" w:hAnsi="Times New Roman" w:cstheme="majorBidi"/>
      <w:b/>
      <w:iCs/>
      <w:sz w:val="24"/>
    </w:rPr>
  </w:style>
  <w:style w:type="paragraph" w:styleId="TOCHeading">
    <w:name w:val="TOC Heading"/>
    <w:basedOn w:val="Heading1"/>
    <w:next w:val="Normal"/>
    <w:uiPriority w:val="39"/>
    <w:unhideWhenUsed/>
    <w:qFormat/>
    <w:rsid w:val="0096151E"/>
    <w:pPr>
      <w:keepNext/>
      <w:keepLines/>
      <w:widowControl/>
      <w:spacing w:before="240" w:line="259" w:lineRule="auto"/>
      <w:ind w:left="0"/>
      <w:outlineLvl w:val="9"/>
    </w:pPr>
    <w:rPr>
      <w:rFonts w:asciiTheme="majorHAnsi" w:eastAsiaTheme="majorEastAsia" w:hAnsiTheme="majorHAnsi" w:cstheme="majorBidi"/>
      <w:b w:val="0"/>
      <w:bCs w:val="0"/>
      <w:color w:val="365F91" w:themeColor="accent1" w:themeShade="BF"/>
      <w:sz w:val="32"/>
      <w:szCs w:val="32"/>
    </w:rPr>
  </w:style>
  <w:style w:type="character" w:styleId="Hyperlink">
    <w:name w:val="Hyperlink"/>
    <w:basedOn w:val="DefaultParagraphFont"/>
    <w:uiPriority w:val="99"/>
    <w:unhideWhenUsed/>
    <w:rsid w:val="0096151E"/>
    <w:rPr>
      <w:color w:val="0000FF" w:themeColor="hyperlink"/>
      <w:u w:val="single"/>
    </w:rPr>
  </w:style>
  <w:style w:type="character" w:styleId="UnresolvedMention">
    <w:name w:val="Unresolved Mention"/>
    <w:basedOn w:val="DefaultParagraphFont"/>
    <w:uiPriority w:val="99"/>
    <w:semiHidden/>
    <w:unhideWhenUsed/>
    <w:rsid w:val="00EF6DF5"/>
    <w:rPr>
      <w:color w:val="605E5C"/>
      <w:shd w:val="clear" w:color="auto" w:fill="E1DFDD"/>
    </w:rPr>
  </w:style>
  <w:style w:type="character" w:styleId="FollowedHyperlink">
    <w:name w:val="FollowedHyperlink"/>
    <w:basedOn w:val="DefaultParagraphFont"/>
    <w:uiPriority w:val="99"/>
    <w:semiHidden/>
    <w:unhideWhenUsed/>
    <w:rsid w:val="00EF6DF5"/>
    <w:rPr>
      <w:color w:val="800080" w:themeColor="followedHyperlink"/>
      <w:u w:val="single"/>
    </w:rPr>
  </w:style>
  <w:style w:type="paragraph" w:styleId="NormalWeb">
    <w:name w:val="Normal (Web)"/>
    <w:basedOn w:val="Normal"/>
    <w:uiPriority w:val="99"/>
    <w:semiHidden/>
    <w:unhideWhenUsed/>
    <w:rsid w:val="00846622"/>
    <w:rPr>
      <w:szCs w:val="24"/>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rPr>
      <w:sz w:val="16"/>
      <w:szCs w:val="16"/>
    </w:rPr>
  </w:style>
  <w:style w:type="table" w:styleId="TableGrid">
    <w:name w:val="Table Grid"/>
    <w:basedOn w:val="TableNormal"/>
    <w:uiPriority w:val="39"/>
    <w:rsid w:val="002E47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57C08"/>
    <w:pPr>
      <w:tabs>
        <w:tab w:val="center" w:pos="4677"/>
        <w:tab w:val="right" w:pos="9355"/>
      </w:tabs>
    </w:pPr>
  </w:style>
  <w:style w:type="character" w:customStyle="1" w:styleId="HeaderChar">
    <w:name w:val="Header Char"/>
    <w:basedOn w:val="DefaultParagraphFont"/>
    <w:link w:val="Header"/>
    <w:uiPriority w:val="99"/>
    <w:rsid w:val="00157C08"/>
    <w:rPr>
      <w:rFonts w:ascii="Times New Roman" w:eastAsia="Times New Roman" w:hAnsi="Times New Roman" w:cs="Times New Roman"/>
    </w:rPr>
  </w:style>
  <w:style w:type="paragraph" w:styleId="Footer">
    <w:name w:val="footer"/>
    <w:basedOn w:val="Normal"/>
    <w:link w:val="FooterChar"/>
    <w:uiPriority w:val="99"/>
    <w:unhideWhenUsed/>
    <w:rsid w:val="00157C08"/>
    <w:pPr>
      <w:tabs>
        <w:tab w:val="center" w:pos="4677"/>
        <w:tab w:val="right" w:pos="9355"/>
      </w:tabs>
    </w:pPr>
  </w:style>
  <w:style w:type="character" w:customStyle="1" w:styleId="FooterChar">
    <w:name w:val="Footer Char"/>
    <w:basedOn w:val="DefaultParagraphFont"/>
    <w:link w:val="Footer"/>
    <w:uiPriority w:val="99"/>
    <w:rsid w:val="00157C08"/>
    <w:rPr>
      <w:rFonts w:ascii="Times New Roman" w:eastAsia="Times New Roman" w:hAnsi="Times New Roman" w:cs="Times New Roman"/>
    </w:rPr>
  </w:style>
  <w:style w:type="character" w:styleId="PlaceholderText">
    <w:name w:val="Placeholder Text"/>
    <w:basedOn w:val="DefaultParagraphFont"/>
    <w:uiPriority w:val="99"/>
    <w:semiHidden/>
    <w:rsid w:val="00923A0A"/>
    <w:rPr>
      <w:color w:val="666666"/>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image" Target="media/image29.png"/><Relationship Id="rId21" Type="http://schemas.openxmlformats.org/officeDocument/2006/relationships/image" Target="media/image11.png"/><Relationship Id="rId34" Type="http://schemas.openxmlformats.org/officeDocument/2006/relationships/image" Target="media/image24.png"/><Relationship Id="rId42" Type="http://schemas.openxmlformats.org/officeDocument/2006/relationships/image" Target="media/image32.png"/><Relationship Id="rId47" Type="http://schemas.openxmlformats.org/officeDocument/2006/relationships/image" Target="media/image37.png"/><Relationship Id="rId50" Type="http://schemas.openxmlformats.org/officeDocument/2006/relationships/image" Target="media/image40.png"/><Relationship Id="rId55" Type="http://schemas.openxmlformats.org/officeDocument/2006/relationships/image" Target="media/image45.png"/><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6.png"/><Relationship Id="rId29" Type="http://schemas.openxmlformats.org/officeDocument/2006/relationships/image" Target="media/image19.emf"/><Relationship Id="rId11" Type="http://schemas.openxmlformats.org/officeDocument/2006/relationships/footer" Target="footer1.xml"/><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image" Target="media/image30.png"/><Relationship Id="rId45" Type="http://schemas.openxmlformats.org/officeDocument/2006/relationships/image" Target="media/image35.png"/><Relationship Id="rId53" Type="http://schemas.openxmlformats.org/officeDocument/2006/relationships/image" Target="media/image43.png"/><Relationship Id="rId58" Type="http://schemas.openxmlformats.org/officeDocument/2006/relationships/image" Target="media/image48.emf"/><Relationship Id="rId5" Type="http://schemas.openxmlformats.org/officeDocument/2006/relationships/settings" Target="settings.xml"/><Relationship Id="rId61" Type="http://schemas.openxmlformats.org/officeDocument/2006/relationships/theme" Target="theme/theme1.xml"/><Relationship Id="rId19" Type="http://schemas.openxmlformats.org/officeDocument/2006/relationships/image" Target="media/image9.png"/><Relationship Id="rId14" Type="http://schemas.openxmlformats.org/officeDocument/2006/relationships/footer" Target="footer2.xml"/><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emf"/><Relationship Id="rId35" Type="http://schemas.openxmlformats.org/officeDocument/2006/relationships/image" Target="media/image25.png"/><Relationship Id="rId43" Type="http://schemas.openxmlformats.org/officeDocument/2006/relationships/image" Target="media/image33.png"/><Relationship Id="rId48" Type="http://schemas.openxmlformats.org/officeDocument/2006/relationships/image" Target="media/image38.png"/><Relationship Id="rId56" Type="http://schemas.openxmlformats.org/officeDocument/2006/relationships/image" Target="media/image46.png"/><Relationship Id="rId8" Type="http://schemas.openxmlformats.org/officeDocument/2006/relationships/endnotes" Target="endnotes.xml"/><Relationship Id="rId51" Type="http://schemas.openxmlformats.org/officeDocument/2006/relationships/image" Target="media/image41.png"/><Relationship Id="rId3" Type="http://schemas.openxmlformats.org/officeDocument/2006/relationships/numbering" Target="numbering.xml"/><Relationship Id="rId12" Type="http://schemas.openxmlformats.org/officeDocument/2006/relationships/image" Target="media/image3.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emf"/><Relationship Id="rId38" Type="http://schemas.openxmlformats.org/officeDocument/2006/relationships/image" Target="media/image28.png"/><Relationship Id="rId46" Type="http://schemas.openxmlformats.org/officeDocument/2006/relationships/image" Target="media/image36.png"/><Relationship Id="rId59" Type="http://schemas.openxmlformats.org/officeDocument/2006/relationships/image" Target="media/image49.emf"/><Relationship Id="rId20" Type="http://schemas.openxmlformats.org/officeDocument/2006/relationships/image" Target="media/image10.png"/><Relationship Id="rId41" Type="http://schemas.openxmlformats.org/officeDocument/2006/relationships/image" Target="media/image31.png"/><Relationship Id="rId54" Type="http://schemas.openxmlformats.org/officeDocument/2006/relationships/image" Target="media/image44.pn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image" Target="media/image39.png"/><Relationship Id="rId57" Type="http://schemas.openxmlformats.org/officeDocument/2006/relationships/image" Target="media/image47.png"/><Relationship Id="rId10" Type="http://schemas.openxmlformats.org/officeDocument/2006/relationships/image" Target="media/image2.png"/><Relationship Id="rId31" Type="http://schemas.openxmlformats.org/officeDocument/2006/relationships/image" Target="media/image21.png"/><Relationship Id="rId44" Type="http://schemas.openxmlformats.org/officeDocument/2006/relationships/image" Target="media/image34.png"/><Relationship Id="rId52" Type="http://schemas.openxmlformats.org/officeDocument/2006/relationships/image" Target="media/image42.png"/><Relationship Id="rId6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FfbN61Vw3Qgjpk4eGo+6se1WtoQ==">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</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231D19B8-8EA7-4EFA-B9CA-FC1B3BE54C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1599</TotalTime>
  <Pages>41</Pages>
  <Words>8694</Words>
  <Characters>49560</Characters>
  <Application>Microsoft Office Word</Application>
  <DocSecurity>0</DocSecurity>
  <Lines>413</Lines>
  <Paragraphs>116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Adeliya Seidaliyeva</dc:creator>
  <cp:lastModifiedBy>Adeliya Seidaliyeva</cp:lastModifiedBy>
  <cp:revision>63</cp:revision>
  <dcterms:created xsi:type="dcterms:W3CDTF">2026-03-19T20:41:00Z</dcterms:created>
  <dcterms:modified xsi:type="dcterms:W3CDTF">2026-06-05T06:50:00Z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2025-04-18T00:00:00Z</vt:filetime>
  </property>
  <property fmtid="{D5CDD505-2E9C-101B-9397-08002B2CF9AE}" pid="3" name="Creator">
    <vt:lpwstr>Microsoft® Word for Microsoft 365</vt:lpwstr>
  </property>
  <property fmtid="{D5CDD505-2E9C-101B-9397-08002B2CF9AE}" pid="4" name="LastSaved">
    <vt:filetime>2026-02-02T00:00:00Z</vt:filetime>
  </property>
  <property fmtid="{D5CDD505-2E9C-101B-9397-08002B2CF9AE}" pid="5" name="Producer">
    <vt:lpwstr>Microsoft® Word for Microsoft 365</vt:lpwstr>
  </property>
  <property fmtid="{D5CDD505-2E9C-101B-9397-08002B2CF9AE}" pid="6" name="Mendeley Recent Style Id 0_1">
    <vt:lpwstr>http://www.zotero.org/styles/american-political-science-association</vt:lpwstr>
  </property>
  <property fmtid="{D5CDD505-2E9C-101B-9397-08002B2CF9AE}" pid="7" name="Mendeley Recent Style Name 0_1">
    <vt:lpwstr>American Political Science Association</vt:lpwstr>
  </property>
  <property fmtid="{D5CDD505-2E9C-101B-9397-08002B2CF9AE}" pid="8" name="Mendeley Recent Style Id 1_1">
    <vt:lpwstr>http://www.zotero.org/styles/american-sociological-association</vt:lpwstr>
  </property>
  <property fmtid="{D5CDD505-2E9C-101B-9397-08002B2CF9AE}" pid="9" name="Mendeley Recent Style Name 1_1">
    <vt:lpwstr>American Sociological Association 6th edition</vt:lpwstr>
  </property>
  <property fmtid="{D5CDD505-2E9C-101B-9397-08002B2CF9AE}" pid="10" name="Mendeley Recent Style Id 2_1">
    <vt:lpwstr>http://www.zotero.org/styles/chicago-author-date</vt:lpwstr>
  </property>
  <property fmtid="{D5CDD505-2E9C-101B-9397-08002B2CF9AE}" pid="11" name="Mendeley Recent Style Name 2_1">
    <vt:lpwstr>Chicago Manual of Style 17th edition (author-date)</vt:lpwstr>
  </property>
  <property fmtid="{D5CDD505-2E9C-101B-9397-08002B2CF9AE}" pid="12" name="Mendeley Recent Style Id 3_1">
    <vt:lpwstr>http://www.zotero.org/styles/harvard-cite-them-right</vt:lpwstr>
  </property>
  <property fmtid="{D5CDD505-2E9C-101B-9397-08002B2CF9AE}" pid="13" name="Mendeley Recent Style Name 3_1">
    <vt:lpwstr>Cite Them Right 12th edition - Harvard</vt:lpwstr>
  </property>
  <property fmtid="{D5CDD505-2E9C-101B-9397-08002B2CF9AE}" pid="14" name="Mendeley Recent Style Id 4_1">
    <vt:lpwstr>http://www.zotero.org/styles/elsevier-with-titles</vt:lpwstr>
  </property>
  <property fmtid="{D5CDD505-2E9C-101B-9397-08002B2CF9AE}" pid="15" name="Mendeley Recent Style Name 4_1">
    <vt:lpwstr>Elsevier (numeric, with titles)</vt:lpwstr>
  </property>
  <property fmtid="{D5CDD505-2E9C-101B-9397-08002B2CF9AE}" pid="16" name="Mendeley Recent Style Id 5_1">
    <vt:lpwstr>http://www.zotero.org/styles/elsevier-harvard</vt:lpwstr>
  </property>
  <property fmtid="{D5CDD505-2E9C-101B-9397-08002B2CF9AE}" pid="17" name="Mendeley Recent Style Name 5_1">
    <vt:lpwstr>Elsevier - Harvard (with titles)</vt:lpwstr>
  </property>
  <property fmtid="{D5CDD505-2E9C-101B-9397-08002B2CF9AE}" pid="18" name="Mendeley Recent Style Id 6_1">
    <vt:lpwstr>http://www.zotero.org/styles/ieee</vt:lpwstr>
  </property>
  <property fmtid="{D5CDD505-2E9C-101B-9397-08002B2CF9AE}" pid="19" name="Mendeley Recent Style Name 6_1">
    <vt:lpwstr>IEEE</vt:lpwstr>
  </property>
  <property fmtid="{D5CDD505-2E9C-101B-9397-08002B2CF9AE}" pid="20" name="Mendeley Recent Style Id 7_1">
    <vt:lpwstr>http://www.zotero.org/styles/nature</vt:lpwstr>
  </property>
  <property fmtid="{D5CDD505-2E9C-101B-9397-08002B2CF9AE}" pid="21" name="Mendeley Recent Style Name 7_1">
    <vt:lpwstr>Nature</vt:lpwstr>
  </property>
  <property fmtid="{D5CDD505-2E9C-101B-9397-08002B2CF9AE}" pid="22" name="Mendeley Recent Style Id 8_1">
    <vt:lpwstr>http://csl.mendeley.com/styles/27319061/gost-r-7-0-5-2008-numeric</vt:lpwstr>
  </property>
  <property fmtid="{D5CDD505-2E9C-101B-9397-08002B2CF9AE}" pid="23" name="Mendeley Recent Style Name 8_1">
    <vt:lpwstr>Russian GOST R 7.0.5-2008 (numeric) - Bulat Kenessov</vt:lpwstr>
  </property>
  <property fmtid="{D5CDD505-2E9C-101B-9397-08002B2CF9AE}" pid="24" name="Mendeley Recent Style Id 9_1">
    <vt:lpwstr>https://csl.mendeley.com/styles/431058761/RussianGOSTDina</vt:lpwstr>
  </property>
  <property fmtid="{D5CDD505-2E9C-101B-9397-08002B2CF9AE}" pid="25" name="Mendeley Recent Style Name 9_1">
    <vt:lpwstr>Russian GOST R 7.0.5-2008 (numeric) - Bulat Kenessov - Dina Orazbayeva</vt:lpwstr>
  </property>
  <property fmtid="{D5CDD505-2E9C-101B-9397-08002B2CF9AE}" pid="26" name="Mendeley Document_1">
    <vt:lpwstr>True</vt:lpwstr>
  </property>
  <property fmtid="{D5CDD505-2E9C-101B-9397-08002B2CF9AE}" pid="27" name="Mendeley Unique User Id_1">
    <vt:lpwstr>7fe03b24-5745-361f-9d02-b29d11814203</vt:lpwstr>
  </property>
  <property fmtid="{D5CDD505-2E9C-101B-9397-08002B2CF9AE}" pid="28" name="Mendeley Citation Style_1">
    <vt:lpwstr>http://www.zotero.org/styles/elsevier-with-titles</vt:lpwstr>
  </property>
</Properties>
</file>