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A6A7B" w14:textId="05FB785F" w:rsidR="00A564E6" w:rsidRPr="00A564E6" w:rsidRDefault="00A564E6" w:rsidP="00A564E6">
      <w:pPr>
        <w:spacing w:after="0" w:line="480" w:lineRule="auto"/>
        <w:jc w:val="center"/>
        <w:rPr>
          <w:b/>
          <w:bCs/>
          <w:lang w:val="kk-KZ"/>
        </w:rPr>
      </w:pPr>
      <w:r w:rsidRPr="00A564E6">
        <w:rPr>
          <w:b/>
          <w:bCs/>
          <w:lang w:val="kk-KZ"/>
        </w:rPr>
        <w:t>125 Grams of Bread and a Pen: Writing as Survival in the Siege of Leningrad</w:t>
      </w:r>
    </w:p>
    <w:p w14:paraId="71EC23CF" w14:textId="2761572F" w:rsidR="00932E78" w:rsidRDefault="00932E78" w:rsidP="0001483E">
      <w:pPr>
        <w:spacing w:after="0" w:line="480" w:lineRule="auto"/>
        <w:ind w:firstLine="720"/>
        <w:rPr>
          <w:lang w:val="en-US"/>
        </w:rPr>
      </w:pPr>
      <w:r>
        <w:rPr>
          <w:lang w:val="en-US"/>
        </w:rPr>
        <w:t>The Siege of Leningrad (1941-1944) remains one of the most devastating and symbolically charges events of World War II. Over the course of 872 days, Leningrad endured starvation,  constant bombing, spread of disease and extreme cold, which resulted that only 700 000 people were left alive from 3.5 million pre-war city population.</w:t>
      </w:r>
      <w:r>
        <w:rPr>
          <w:rStyle w:val="ae"/>
          <w:lang w:val="en-US"/>
        </w:rPr>
        <w:footnoteReference w:id="1"/>
      </w:r>
      <w:r w:rsidR="00A00C16">
        <w:rPr>
          <w:lang w:val="en-US"/>
        </w:rPr>
        <w:t xml:space="preserve"> In Soviet and late Russian memory, the siege become sacred symbol of unity and endurance. It was commemorated by countless monuments, literature, movies and state ceremonies that emphasized collective sacrifice of Leningrad civilians. Yet beneath this narrative there is radically different experience, where it is marked with biological degra</w:t>
      </w:r>
      <w:r w:rsidR="00FD6322">
        <w:rPr>
          <w:lang w:val="en-US"/>
        </w:rPr>
        <w:t>da</w:t>
      </w:r>
      <w:r w:rsidR="00A00C16">
        <w:rPr>
          <w:lang w:val="en-US"/>
        </w:rPr>
        <w:t xml:space="preserve">tion and moral fragmentation, emotional instability and fragile psychological coping mechanism. </w:t>
      </w:r>
    </w:p>
    <w:p w14:paraId="6731C251" w14:textId="46CF4D8E" w:rsidR="00B778D1" w:rsidRDefault="00B778D1" w:rsidP="00B778D1">
      <w:pPr>
        <w:spacing w:after="0" w:line="480" w:lineRule="auto"/>
        <w:ind w:firstLine="720"/>
        <w:rPr>
          <w:lang w:val="en-US"/>
        </w:rPr>
      </w:pPr>
      <w:r>
        <w:rPr>
          <w:lang w:val="en-US"/>
        </w:rPr>
        <w:t>The central paradox of the blockade</w:t>
      </w:r>
      <w:r w:rsidR="003560DF">
        <w:rPr>
          <w:lang w:val="en-US"/>
        </w:rPr>
        <w:t xml:space="preserve"> is</w:t>
      </w:r>
      <w:r>
        <w:rPr>
          <w:lang w:val="en-US"/>
        </w:rPr>
        <w:t xml:space="preserve"> that Siege of Leningrad is one of the most well-known yet least </w:t>
      </w:r>
      <w:r w:rsidR="003560DF">
        <w:rPr>
          <w:lang w:val="en-US"/>
        </w:rPr>
        <w:t xml:space="preserve">critically </w:t>
      </w:r>
      <w:r>
        <w:rPr>
          <w:lang w:val="en-US"/>
        </w:rPr>
        <w:t>processed traumas in Russian history</w:t>
      </w:r>
      <w:r w:rsidR="003560DF">
        <w:rPr>
          <w:lang w:val="en-US"/>
        </w:rPr>
        <w:t xml:space="preserve"> and it remains true in the contemporary period no less than in the Soviet era</w:t>
      </w:r>
      <w:r>
        <w:rPr>
          <w:lang w:val="en-US"/>
        </w:rPr>
        <w:t>. Despite of hundreds of memoirs, monuments and films this trauma has not been fully worked through, and remains both sacred and untouchable in public discourse.</w:t>
      </w:r>
      <w:r>
        <w:rPr>
          <w:rStyle w:val="ae"/>
          <w:lang w:val="en-US"/>
        </w:rPr>
        <w:footnoteReference w:id="2"/>
      </w:r>
      <w:r>
        <w:rPr>
          <w:lang w:val="en-US"/>
        </w:rPr>
        <w:t xml:space="preserve"> This lack of critical reflection stems from tension between horror of mass death and ideological need to portray siege as symbol of Soviet endurance. While over a million people perished because of hunger, disease and exposure, in Soviet history this event became far more that tragedy, it was elevated into symbol of endurance and patriotic heroism.</w:t>
      </w:r>
      <w:r>
        <w:rPr>
          <w:rStyle w:val="ae"/>
          <w:lang w:val="en-US"/>
        </w:rPr>
        <w:footnoteReference w:id="3"/>
      </w:r>
      <w:r>
        <w:rPr>
          <w:lang w:val="en-US"/>
        </w:rPr>
        <w:t xml:space="preserve"> </w:t>
      </w:r>
    </w:p>
    <w:p w14:paraId="593FDB1A" w14:textId="5DA8C7F0" w:rsidR="00380893" w:rsidRPr="00380893" w:rsidRDefault="00380893" w:rsidP="00380893">
      <w:pPr>
        <w:spacing w:after="0" w:line="480" w:lineRule="auto"/>
        <w:rPr>
          <w:b/>
          <w:bCs/>
          <w:lang w:val="en-US"/>
        </w:rPr>
      </w:pPr>
      <w:r w:rsidRPr="00380893">
        <w:rPr>
          <w:b/>
          <w:bCs/>
          <w:lang w:val="en-US"/>
        </w:rPr>
        <w:t>Thesis and Research Question</w:t>
      </w:r>
    </w:p>
    <w:p w14:paraId="2DA64639" w14:textId="41087214" w:rsidR="00241893" w:rsidRDefault="00241893" w:rsidP="00241893">
      <w:pPr>
        <w:spacing w:after="0" w:line="480" w:lineRule="auto"/>
        <w:ind w:firstLine="720"/>
        <w:rPr>
          <w:lang w:val="en-US"/>
        </w:rPr>
      </w:pPr>
      <w:r>
        <w:rPr>
          <w:lang w:val="en-US"/>
        </w:rPr>
        <w:t>This study places civilian diaries at the center of analysis in order to examine how individuals constructed psychological survival under conditions of extreme starvation. Main focus lays in diaries Lena Mukhina, Lidiya Ginzburg, Olga Berggolt</w:t>
      </w:r>
      <w:r w:rsidR="00B778D1">
        <w:rPr>
          <w:lang w:val="en-US"/>
        </w:rPr>
        <w:t>s</w:t>
      </w:r>
      <w:r>
        <w:rPr>
          <w:lang w:val="en-US"/>
        </w:rPr>
        <w:t xml:space="preserve">. This project argues </w:t>
      </w:r>
      <w:r>
        <w:rPr>
          <w:lang w:val="en-US"/>
        </w:rPr>
        <w:lastRenderedPageBreak/>
        <w:t>that writing functioned not as passive documentation but as an active survival strategy. Through imaginative substitution, strict routine, self-analysis and irony these diarists resisted reduction to just biological existence. At the same time, their diary entries show forms of moral fragmentation and emotional disintegration that challenge later heroic myth of blockade.</w:t>
      </w:r>
      <w:r>
        <w:rPr>
          <w:rStyle w:val="ae"/>
          <w:lang w:val="en-US"/>
        </w:rPr>
        <w:footnoteReference w:id="4"/>
      </w:r>
      <w:r>
        <w:rPr>
          <w:lang w:val="en-US"/>
        </w:rPr>
        <w:t xml:space="preserve"> </w:t>
      </w:r>
      <w:r w:rsidR="003560DF">
        <w:rPr>
          <w:lang w:val="en-US"/>
        </w:rPr>
        <w:t xml:space="preserve">Drawing on cultural memory studies, this project also examines how Soviet and post-Soviet memory politics systematically reframed the siege as story of heroic unity and collective sacrifice. It was done precisely by leaving out the fragmentation and moral ambiguity that the diaries have. The tension between diary evidence and official myth is therefore central to my argument. </w:t>
      </w:r>
    </w:p>
    <w:p w14:paraId="58954655" w14:textId="305B78C5" w:rsidR="00380893" w:rsidRPr="00380893" w:rsidRDefault="00380893" w:rsidP="00380893">
      <w:pPr>
        <w:spacing w:after="0" w:line="480" w:lineRule="auto"/>
        <w:rPr>
          <w:b/>
          <w:bCs/>
          <w:lang w:val="en-US"/>
        </w:rPr>
      </w:pPr>
      <w:r w:rsidRPr="00380893">
        <w:rPr>
          <w:b/>
          <w:bCs/>
          <w:lang w:val="en-US"/>
        </w:rPr>
        <w:t>Methodology</w:t>
      </w:r>
    </w:p>
    <w:p w14:paraId="5EB1681A" w14:textId="243A3B2C" w:rsidR="00241893" w:rsidRDefault="00241893" w:rsidP="00241893">
      <w:pPr>
        <w:spacing w:after="0" w:line="480" w:lineRule="auto"/>
        <w:ind w:firstLine="720"/>
        <w:rPr>
          <w:lang w:val="en-US"/>
        </w:rPr>
      </w:pPr>
      <w:r w:rsidRPr="00195E79">
        <w:rPr>
          <w:lang w:val="en-US"/>
        </w:rPr>
        <w:t xml:space="preserve">This study combines </w:t>
      </w:r>
      <w:r>
        <w:rPr>
          <w:lang w:val="en-US"/>
        </w:rPr>
        <w:t xml:space="preserve">historical </w:t>
      </w:r>
      <w:r w:rsidRPr="00195E79">
        <w:rPr>
          <w:lang w:val="en-US"/>
        </w:rPr>
        <w:t>analysis of personal diaries with trauma theory and cultural memory studies in order to examine Siege of Leningrad not only as historical event but as</w:t>
      </w:r>
      <w:r>
        <w:rPr>
          <w:lang w:val="en-US"/>
        </w:rPr>
        <w:t xml:space="preserve"> </w:t>
      </w:r>
      <w:r w:rsidRPr="00195E79">
        <w:rPr>
          <w:lang w:val="en-US"/>
        </w:rPr>
        <w:t>lived psychological experience and later political narrative. Rather than approaching the blockade primarily through military history or state archives, this project places private writing at the center of analysis. The diaries of Lena Mukhina</w:t>
      </w:r>
      <w:r>
        <w:rPr>
          <w:lang w:val="en-US"/>
        </w:rPr>
        <w:t>,</w:t>
      </w:r>
      <w:r w:rsidRPr="00195E79">
        <w:rPr>
          <w:lang w:val="en-US"/>
        </w:rPr>
        <w:t xml:space="preserve"> Lidiya Ginzburg</w:t>
      </w:r>
      <w:r>
        <w:rPr>
          <w:lang w:val="en-US"/>
        </w:rPr>
        <w:t>, Olga Berggolts</w:t>
      </w:r>
      <w:r w:rsidRPr="00195E79">
        <w:rPr>
          <w:lang w:val="en-US"/>
        </w:rPr>
        <w:t xml:space="preserve"> are treated no</w:t>
      </w:r>
      <w:r>
        <w:rPr>
          <w:lang w:val="en-US"/>
        </w:rPr>
        <w:t xml:space="preserve">t just </w:t>
      </w:r>
      <w:r w:rsidRPr="00195E79">
        <w:rPr>
          <w:lang w:val="en-US"/>
        </w:rPr>
        <w:t>as document</w:t>
      </w:r>
      <w:r>
        <w:rPr>
          <w:lang w:val="en-US"/>
        </w:rPr>
        <w:t>ed</w:t>
      </w:r>
      <w:r w:rsidRPr="00195E79">
        <w:rPr>
          <w:lang w:val="en-US"/>
        </w:rPr>
        <w:t xml:space="preserve"> evidence but as active</w:t>
      </w:r>
      <w:r>
        <w:rPr>
          <w:lang w:val="en-US"/>
        </w:rPr>
        <w:t xml:space="preserve"> sources of meaning  that was created under extreme conditions of starvation. </w:t>
      </w:r>
      <w:r w:rsidR="007D39EA">
        <w:rPr>
          <w:lang w:val="en-US"/>
        </w:rPr>
        <w:t xml:space="preserve">These three diaries were chosen not because they are “representative” of all Leningrad civilians, because no single diary could be. Every experience is unique on its own way, and each diarists embodies different </w:t>
      </w:r>
      <w:proofErr w:type="spellStart"/>
      <w:r w:rsidR="007D39EA">
        <w:rPr>
          <w:lang w:val="en-US"/>
        </w:rPr>
        <w:t>aurvival</w:t>
      </w:r>
      <w:proofErr w:type="spellEnd"/>
      <w:r w:rsidR="007D39EA">
        <w:rPr>
          <w:lang w:val="en-US"/>
        </w:rPr>
        <w:t xml:space="preserve"> strategies. Mukhina’s imaginative substitution, Ginzburg’s analytical abstraction and </w:t>
      </w:r>
      <w:proofErr w:type="spellStart"/>
      <w:r w:rsidR="007D39EA">
        <w:rPr>
          <w:lang w:val="en-US"/>
        </w:rPr>
        <w:t>Berggolts’s</w:t>
      </w:r>
      <w:proofErr w:type="spellEnd"/>
      <w:r w:rsidR="007D39EA">
        <w:rPr>
          <w:lang w:val="en-US"/>
        </w:rPr>
        <w:t xml:space="preserve"> mission-driven discipline. All three diarists are women partly because the siege’s domestic labor fell on women and partly because these are the diaries that survived and are accessible to researchers. This study does not claim representativeness but treats them as exemplary ones. </w:t>
      </w:r>
    </w:p>
    <w:p w14:paraId="56F39F09" w14:textId="194AA585" w:rsidR="00241893" w:rsidRDefault="00241893" w:rsidP="00241893">
      <w:pPr>
        <w:spacing w:after="0" w:line="480" w:lineRule="auto"/>
        <w:ind w:firstLine="720"/>
        <w:rPr>
          <w:lang w:val="en-US"/>
        </w:rPr>
      </w:pPr>
      <w:r w:rsidRPr="002D6658">
        <w:rPr>
          <w:lang w:val="en-US"/>
        </w:rPr>
        <w:lastRenderedPageBreak/>
        <w:t>Personal diaries occupy a unique pos</w:t>
      </w:r>
      <w:r>
        <w:rPr>
          <w:lang w:val="en-US"/>
        </w:rPr>
        <w:t xml:space="preserve">ition </w:t>
      </w:r>
      <w:r w:rsidRPr="002D6658">
        <w:rPr>
          <w:lang w:val="en-US"/>
        </w:rPr>
        <w:t xml:space="preserve"> among historical sources. </w:t>
      </w:r>
      <w:r w:rsidR="001C514E">
        <w:rPr>
          <w:lang w:val="en-US"/>
        </w:rPr>
        <w:t>N</w:t>
      </w:r>
      <w:r w:rsidR="00BB37AC">
        <w:rPr>
          <w:lang w:val="en-US"/>
        </w:rPr>
        <w:t xml:space="preserve">ot all </w:t>
      </w:r>
      <w:r w:rsidR="001C514E">
        <w:rPr>
          <w:lang w:val="en-US"/>
        </w:rPr>
        <w:t>texts</w:t>
      </w:r>
      <w:r w:rsidR="00BB37AC">
        <w:rPr>
          <w:lang w:val="en-US"/>
        </w:rPr>
        <w:t xml:space="preserve"> are “pure” diaries</w:t>
      </w:r>
      <w:r w:rsidR="001C514E">
        <w:rPr>
          <w:lang w:val="en-US"/>
        </w:rPr>
        <w:t xml:space="preserve"> in the strictest sense. </w:t>
      </w:r>
      <w:r w:rsidR="001C514E" w:rsidRPr="001C514E">
        <w:rPr>
          <w:lang w:val="en-US"/>
        </w:rPr>
        <w:t xml:space="preserve">Lidiya Ginzburg's </w:t>
      </w:r>
      <w:r w:rsidR="001C514E" w:rsidRPr="001C514E">
        <w:rPr>
          <w:i/>
          <w:iCs/>
          <w:lang w:val="en-US"/>
        </w:rPr>
        <w:t>Notes from the Blockade</w:t>
      </w:r>
      <w:r w:rsidR="001C514E" w:rsidRPr="001C514E">
        <w:rPr>
          <w:lang w:val="en-US"/>
        </w:rPr>
        <w:t xml:space="preserve"> is what she called </w:t>
      </w:r>
      <w:r w:rsidR="001C514E">
        <w:rPr>
          <w:lang w:val="en-US"/>
        </w:rPr>
        <w:t>“</w:t>
      </w:r>
      <w:r w:rsidR="001C514E" w:rsidRPr="001C514E">
        <w:rPr>
          <w:lang w:val="en-US"/>
        </w:rPr>
        <w:t>intermediate literature</w:t>
      </w:r>
      <w:r w:rsidR="001C514E">
        <w:rPr>
          <w:lang w:val="en-US"/>
        </w:rPr>
        <w:t xml:space="preserve">” which is </w:t>
      </w:r>
      <w:r w:rsidR="001C514E" w:rsidRPr="001C514E">
        <w:rPr>
          <w:lang w:val="en-US"/>
        </w:rPr>
        <w:t xml:space="preserve">hybrid of diary, memoir, and psychological analysis, based on notes she wrote during the siege but shaped later. Olga Berggolts's diary </w:t>
      </w:r>
      <w:r w:rsidR="001C514E">
        <w:rPr>
          <w:lang w:val="en-US"/>
        </w:rPr>
        <w:t xml:space="preserve">and </w:t>
      </w:r>
      <w:r w:rsidR="001C514E" w:rsidRPr="001C514E">
        <w:rPr>
          <w:lang w:val="en-US"/>
        </w:rPr>
        <w:t>Lena Mukhina's diary entries were written at the time. Despite these genre differences, each preserves first-person experience close to the event.</w:t>
      </w:r>
      <w:r w:rsidR="001C514E">
        <w:rPr>
          <w:lang w:val="en-US"/>
        </w:rPr>
        <w:t xml:space="preserve"> </w:t>
      </w:r>
      <w:r w:rsidRPr="002D6658">
        <w:rPr>
          <w:lang w:val="en-US"/>
        </w:rPr>
        <w:t xml:space="preserve"> They capture not only events but emotional responses, linguistic shifts, and moral tensions as they unfold. As Alexis Peri</w:t>
      </w:r>
      <w:r>
        <w:rPr>
          <w:lang w:val="en-US"/>
        </w:rPr>
        <w:t xml:space="preserve"> </w:t>
      </w:r>
      <w:r w:rsidRPr="002D6658">
        <w:rPr>
          <w:lang w:val="en-US"/>
        </w:rPr>
        <w:t>argued</w:t>
      </w:r>
      <w:r>
        <w:rPr>
          <w:lang w:val="en-US"/>
        </w:rPr>
        <w:t xml:space="preserve"> in his work</w:t>
      </w:r>
      <w:r w:rsidRPr="002D6658">
        <w:rPr>
          <w:lang w:val="en-US"/>
        </w:rPr>
        <w:t xml:space="preserve">, siege diaries were not passive chronicles but </w:t>
      </w:r>
      <w:r>
        <w:rPr>
          <w:lang w:val="en-US"/>
        </w:rPr>
        <w:t xml:space="preserve">also they were </w:t>
      </w:r>
      <w:r w:rsidRPr="002D6658">
        <w:rPr>
          <w:lang w:val="en-US"/>
        </w:rPr>
        <w:t>attempts to</w:t>
      </w:r>
      <w:r>
        <w:rPr>
          <w:lang w:val="en-US"/>
        </w:rPr>
        <w:t xml:space="preserve"> give</w:t>
      </w:r>
      <w:r w:rsidRPr="002D6658">
        <w:rPr>
          <w:lang w:val="en-US"/>
        </w:rPr>
        <w:t xml:space="preserve"> coherence </w:t>
      </w:r>
      <w:r>
        <w:rPr>
          <w:lang w:val="en-US"/>
        </w:rPr>
        <w:t xml:space="preserve">to </w:t>
      </w:r>
      <w:r w:rsidRPr="002D6658">
        <w:rPr>
          <w:lang w:val="en-US"/>
        </w:rPr>
        <w:t>disintegrating reality.</w:t>
      </w:r>
      <w:r>
        <w:rPr>
          <w:rStyle w:val="ae"/>
          <w:lang w:val="en-US"/>
        </w:rPr>
        <w:footnoteReference w:id="5"/>
      </w:r>
      <w:r>
        <w:rPr>
          <w:lang w:val="en-US"/>
        </w:rPr>
        <w:t xml:space="preserve"> </w:t>
      </w:r>
      <w:r w:rsidRPr="002D6658">
        <w:rPr>
          <w:lang w:val="en-US"/>
        </w:rPr>
        <w:t>Writing functioned as form of survival</w:t>
      </w:r>
      <w:r>
        <w:rPr>
          <w:lang w:val="en-US"/>
        </w:rPr>
        <w:t>, so</w:t>
      </w:r>
      <w:r w:rsidRPr="002D6658">
        <w:rPr>
          <w:lang w:val="en-US"/>
        </w:rPr>
        <w:t xml:space="preserve"> it stabilized identity</w:t>
      </w:r>
      <w:r>
        <w:rPr>
          <w:lang w:val="en-US"/>
        </w:rPr>
        <w:t xml:space="preserve"> </w:t>
      </w:r>
      <w:r w:rsidRPr="002D6658">
        <w:rPr>
          <w:lang w:val="en-US"/>
        </w:rPr>
        <w:t>and transformed chaos into narrative.</w:t>
      </w:r>
      <w:r>
        <w:rPr>
          <w:lang w:val="en-US"/>
        </w:rPr>
        <w:t xml:space="preserve"> </w:t>
      </w:r>
    </w:p>
    <w:p w14:paraId="47A2E961" w14:textId="30D0A4DE" w:rsidR="00380893" w:rsidRPr="00380893" w:rsidRDefault="00241893" w:rsidP="00380893">
      <w:pPr>
        <w:spacing w:after="0" w:line="480" w:lineRule="auto"/>
        <w:ind w:firstLine="720"/>
        <w:rPr>
          <w:lang w:val="en-US"/>
        </w:rPr>
      </w:pPr>
      <w:r>
        <w:rPr>
          <w:lang w:val="en-US"/>
        </w:rPr>
        <w:t xml:space="preserve">This study </w:t>
      </w:r>
      <w:r w:rsidR="000B7412">
        <w:rPr>
          <w:lang w:val="en-US"/>
        </w:rPr>
        <w:t>focuses</w:t>
      </w:r>
      <w:r>
        <w:rPr>
          <w:lang w:val="en-US"/>
        </w:rPr>
        <w:t xml:space="preserve"> closely on the language, metaphors, repetitions and even silences in diaries. Rather than summarizing events, analysis examines how hunger reorganizes perception, how routine becomes ritual and how fantasy displaces deprivation. Narrative shifts are in the center of attention, such as Lena Mukhina’s move into third person storytelling. Also, attention is paid to Ginzburg’s conceptualization of the “blockade person”.</w:t>
      </w:r>
      <w:r>
        <w:rPr>
          <w:rStyle w:val="ae"/>
          <w:lang w:val="en-US"/>
        </w:rPr>
        <w:footnoteReference w:id="6"/>
      </w:r>
      <w:r>
        <w:rPr>
          <w:lang w:val="en-US"/>
        </w:rPr>
        <w:t xml:space="preserve"> These textual features are interpreted as indicators of psychological adaptation to starvation. By reading diaries as literary constructions as well as historical documents, this project emphasizes that writing during siege was an intentional act. All of them shaped experience through narrative strategies, whether through imaginative substitution or analytical abstraction. That is why diary becomes a form of agency within conditions that severely limited physical autonomy.</w:t>
      </w:r>
    </w:p>
    <w:p w14:paraId="1239F0BE" w14:textId="009A1304" w:rsidR="00FD6322" w:rsidRDefault="00241893" w:rsidP="001C514E">
      <w:pPr>
        <w:spacing w:after="0" w:line="480" w:lineRule="auto"/>
        <w:ind w:firstLine="720"/>
        <w:rPr>
          <w:lang w:val="en-US"/>
        </w:rPr>
      </w:pPr>
      <w:r>
        <w:rPr>
          <w:lang w:val="en-US"/>
        </w:rPr>
        <w:t xml:space="preserve">The core of analysis organized thematically rather than biographically, so diaries are examined through recurring dimensions of survival, like hunger, routine, emotional </w:t>
      </w:r>
      <w:r>
        <w:rPr>
          <w:lang w:val="en-US"/>
        </w:rPr>
        <w:lastRenderedPageBreak/>
        <w:t xml:space="preserve">fluctuation and dissociation, humor and irony, and moral fragmentation. This thematic structure </w:t>
      </w:r>
      <w:r w:rsidR="00FD6322">
        <w:rPr>
          <w:lang w:val="en-US"/>
        </w:rPr>
        <w:t>highlights</w:t>
      </w:r>
      <w:r>
        <w:rPr>
          <w:lang w:val="en-US"/>
        </w:rPr>
        <w:t xml:space="preserve"> shared psychological mechanisms across different writers while preserving their distinct narrative strategies. </w:t>
      </w:r>
      <w:r w:rsidR="00FD6322">
        <w:rPr>
          <w:lang w:val="en-US"/>
        </w:rPr>
        <w:t>Ultimately</w:t>
      </w:r>
      <w:r>
        <w:rPr>
          <w:lang w:val="en-US"/>
        </w:rPr>
        <w:t xml:space="preserve">, this methodology positions diary not as passive record of catastrophic events but as deliberate posture in the struggle for human identity.  </w:t>
      </w:r>
      <w:r w:rsidRPr="002D6658">
        <w:rPr>
          <w:lang w:val="en-US"/>
        </w:rPr>
        <w:t xml:space="preserve">By combining close textual analysis with trauma theory and memory studies, this project </w:t>
      </w:r>
      <w:r w:rsidR="001C514E">
        <w:rPr>
          <w:lang w:val="en-US"/>
        </w:rPr>
        <w:t xml:space="preserve">is </w:t>
      </w:r>
      <w:r w:rsidRPr="002D6658">
        <w:rPr>
          <w:lang w:val="en-US"/>
        </w:rPr>
        <w:t>seek</w:t>
      </w:r>
      <w:r>
        <w:rPr>
          <w:lang w:val="en-US"/>
        </w:rPr>
        <w:t>ing</w:t>
      </w:r>
      <w:r w:rsidRPr="002D6658">
        <w:rPr>
          <w:lang w:val="en-US"/>
        </w:rPr>
        <w:t xml:space="preserve"> to </w:t>
      </w:r>
      <w:r>
        <w:rPr>
          <w:lang w:val="en-US"/>
        </w:rPr>
        <w:t>show</w:t>
      </w:r>
      <w:r w:rsidRPr="002D6658">
        <w:rPr>
          <w:lang w:val="en-US"/>
        </w:rPr>
        <w:t xml:space="preserve"> how individuals navigated</w:t>
      </w:r>
      <w:r w:rsidR="001C514E">
        <w:rPr>
          <w:lang w:val="en-US"/>
        </w:rPr>
        <w:t xml:space="preserve"> through</w:t>
      </w:r>
      <w:r w:rsidRPr="002D6658">
        <w:rPr>
          <w:lang w:val="en-US"/>
        </w:rPr>
        <w:t xml:space="preserve"> collapse of normal moral and social structures</w:t>
      </w:r>
      <w:r>
        <w:rPr>
          <w:lang w:val="en-US"/>
        </w:rPr>
        <w:t>, a</w:t>
      </w:r>
      <w:r w:rsidRPr="002D6658">
        <w:rPr>
          <w:lang w:val="en-US"/>
        </w:rPr>
        <w:t>nd how their private writings complicate the later heroic mythology of the siege.</w:t>
      </w:r>
      <w:r w:rsidR="001C514E">
        <w:rPr>
          <w:lang w:val="en-US"/>
        </w:rPr>
        <w:t xml:space="preserve"> This is particularly </w:t>
      </w:r>
      <w:proofErr w:type="spellStart"/>
      <w:r w:rsidR="001C514E">
        <w:rPr>
          <w:lang w:val="en-US"/>
        </w:rPr>
        <w:t>comples</w:t>
      </w:r>
      <w:proofErr w:type="spellEnd"/>
      <w:r w:rsidR="001C514E">
        <w:rPr>
          <w:lang w:val="en-US"/>
        </w:rPr>
        <w:t xml:space="preserve"> in the case of Olga Berggolts, since her public broadcasts and poetry helped to create that mythology even as her private diary recorded the psychological cost of performing heroism.</w:t>
      </w:r>
    </w:p>
    <w:p w14:paraId="0CEE4EF0" w14:textId="1EB80B00" w:rsidR="00380893" w:rsidRPr="00380893" w:rsidRDefault="00380893" w:rsidP="00380893">
      <w:pPr>
        <w:spacing w:after="0" w:line="480" w:lineRule="auto"/>
        <w:rPr>
          <w:b/>
          <w:bCs/>
          <w:lang w:val="en-US"/>
        </w:rPr>
      </w:pPr>
      <w:r w:rsidRPr="00380893">
        <w:rPr>
          <w:b/>
          <w:bCs/>
          <w:lang w:val="en-US"/>
        </w:rPr>
        <w:t>Theoretical Framework</w:t>
      </w:r>
    </w:p>
    <w:p w14:paraId="1C6D457A" w14:textId="1C43C3D1" w:rsidR="00FD6322" w:rsidRPr="00FD6322" w:rsidRDefault="00FD6322" w:rsidP="00FD6322">
      <w:pPr>
        <w:spacing w:after="0" w:line="480" w:lineRule="auto"/>
        <w:ind w:firstLine="720"/>
        <w:rPr>
          <w:lang w:val="en-US"/>
        </w:rPr>
      </w:pPr>
      <w:r w:rsidRPr="00FD6322">
        <w:rPr>
          <w:lang w:val="en-US"/>
        </w:rPr>
        <w:t>To interpret psychological dimensions of these texts, this project draws selectively on trauma theory, particularly work of Cathy Caruth. She defines trauma as experience that resists immediate assimilation into narrative memory, which means that  event that is not fully known at the moment it occurs and that returns through repetition, fragmentation.</w:t>
      </w:r>
      <w:r w:rsidRPr="00FD6322">
        <w:rPr>
          <w:rStyle w:val="ae"/>
          <w:lang w:val="en-US"/>
        </w:rPr>
        <w:footnoteReference w:id="7"/>
      </w:r>
      <w:r w:rsidRPr="00FD6322">
        <w:rPr>
          <w:lang w:val="en-US"/>
        </w:rPr>
        <w:t xml:space="preserve"> Trauma in this understanding is not only what happened but the difficulty of representing what happened,. Applying this framework to siege diaries allows us to observe how starvation disrupts narrative continuity. </w:t>
      </w:r>
      <w:r w:rsidR="000B7412" w:rsidRPr="00FD6322">
        <w:rPr>
          <w:lang w:val="en-US"/>
        </w:rPr>
        <w:t>Repetition</w:t>
      </w:r>
      <w:r w:rsidRPr="00FD6322">
        <w:rPr>
          <w:lang w:val="en-US"/>
        </w:rPr>
        <w:t xml:space="preserve"> of bread imagery, moving back and forth between despair and joy, emotional numbness are not treated as isolated details, but as structural effects of extreme experience.</w:t>
      </w:r>
      <w:r w:rsidR="00F24A8C">
        <w:rPr>
          <w:lang w:val="en-US"/>
        </w:rPr>
        <w:t xml:space="preserve"> </w:t>
      </w:r>
      <w:r w:rsidR="00F24A8C" w:rsidRPr="00F24A8C">
        <w:rPr>
          <w:lang w:val="en-US"/>
        </w:rPr>
        <w:t>Th</w:t>
      </w:r>
      <w:r w:rsidR="00F24A8C">
        <w:rPr>
          <w:lang w:val="en-US"/>
        </w:rPr>
        <w:t>us</w:t>
      </w:r>
      <w:r w:rsidR="00F24A8C" w:rsidRPr="00F24A8C">
        <w:rPr>
          <w:lang w:val="en-US"/>
        </w:rPr>
        <w:t xml:space="preserve"> diaries capture trauma at the moment of its occurrence, not its later representation. This is valuable because it shows us the raw, unprocessed state that later heroic narratives would have to reshape.</w:t>
      </w:r>
      <w:r w:rsidRPr="00FD6322">
        <w:rPr>
          <w:lang w:val="en-US"/>
        </w:rPr>
        <w:t xml:space="preserve"> This fragmentation of moral judgment, for example calculating benefit of relative’s death, reveals </w:t>
      </w:r>
      <w:r w:rsidR="00F24A8C">
        <w:rPr>
          <w:lang w:val="en-US"/>
        </w:rPr>
        <w:t xml:space="preserve">temporary </w:t>
      </w:r>
      <w:r w:rsidR="00F24A8C">
        <w:rPr>
          <w:lang w:val="en-US"/>
        </w:rPr>
        <w:lastRenderedPageBreak/>
        <w:t>collapse of ethical self-conception under extreme conditions. Only later, in work of Ginzburg, she does some “working through” begin.</w:t>
      </w:r>
      <w:r w:rsidRPr="00FD6322">
        <w:rPr>
          <w:lang w:val="en-US"/>
        </w:rPr>
        <w:t xml:space="preserve"> </w:t>
      </w:r>
    </w:p>
    <w:p w14:paraId="270F2201" w14:textId="6D7B21B9" w:rsidR="00FD6322" w:rsidRPr="00FD6322" w:rsidRDefault="00FD6322" w:rsidP="00FD6322">
      <w:pPr>
        <w:spacing w:after="0" w:line="480" w:lineRule="auto"/>
        <w:ind w:firstLine="720"/>
        <w:rPr>
          <w:lang w:val="en-US"/>
        </w:rPr>
      </w:pPr>
      <w:r w:rsidRPr="00FD6322">
        <w:rPr>
          <w:lang w:val="en-US"/>
        </w:rPr>
        <w:t xml:space="preserve">It is important to note that this project does not attempt to diagnose people who wrote diaries with mental illness. Instead, trauma theory serves as lens for analyzing how language registers instability in conditions of prolonged starvation. The diaries demonstrate not only suffering, but also struggle to communicate that suffering. </w:t>
      </w:r>
      <w:r w:rsidR="00F24A8C" w:rsidRPr="00F24A8C">
        <w:rPr>
          <w:lang w:val="en-US"/>
        </w:rPr>
        <w:t>In addition to trauma theory, this study draws on research on collective memory</w:t>
      </w:r>
      <w:r w:rsidR="0080353E">
        <w:rPr>
          <w:lang w:val="en-US"/>
        </w:rPr>
        <w:t xml:space="preserve">, </w:t>
      </w:r>
      <w:r w:rsidR="00F24A8C" w:rsidRPr="00F24A8C">
        <w:rPr>
          <w:lang w:val="en-US"/>
        </w:rPr>
        <w:t xml:space="preserve">but not to claim that siege diaries themselves are products of collective memory. Rather, Halbwachs's concept helps frame the postwar context into which these diaries later entered. While the act of writing a diary during starvation is individual, the reception, suppression and reframing of those diaries after the war was shaped by social and political frameworks </w:t>
      </w:r>
      <w:r w:rsidR="0080353E">
        <w:rPr>
          <w:lang w:val="en-US"/>
        </w:rPr>
        <w:t>is</w:t>
      </w:r>
      <w:r w:rsidR="00F24A8C" w:rsidRPr="00F24A8C">
        <w:rPr>
          <w:lang w:val="en-US"/>
        </w:rPr>
        <w:t xml:space="preserve"> what Halbwachs would call collective memory</w:t>
      </w:r>
      <w:r w:rsidRPr="00FD6322">
        <w:rPr>
          <w:lang w:val="en-US"/>
        </w:rPr>
        <w:t>.</w:t>
      </w:r>
      <w:r w:rsidRPr="00FD6322">
        <w:rPr>
          <w:rStyle w:val="ae"/>
          <w:lang w:val="en-US"/>
        </w:rPr>
        <w:footnoteReference w:id="8"/>
      </w:r>
      <w:r w:rsidRPr="00FD6322">
        <w:rPr>
          <w:lang w:val="en-US"/>
        </w:rPr>
        <w:t xml:space="preserve"> Dominique LaCapra’s distinction between “expression” and “overcoming” trauma provides useful </w:t>
      </w:r>
      <w:r w:rsidR="000B7412" w:rsidRPr="00FD6322">
        <w:rPr>
          <w:lang w:val="en-US"/>
        </w:rPr>
        <w:t>framework</w:t>
      </w:r>
      <w:r w:rsidRPr="00FD6322">
        <w:rPr>
          <w:lang w:val="en-US"/>
        </w:rPr>
        <w:t xml:space="preserve"> for interpreting the politics of commemorating the blockade.</w:t>
      </w:r>
      <w:r w:rsidRPr="00FD6322">
        <w:rPr>
          <w:rStyle w:val="ae"/>
          <w:lang w:val="en-US"/>
        </w:rPr>
        <w:footnoteReference w:id="9"/>
      </w:r>
      <w:r w:rsidRPr="00FD6322">
        <w:rPr>
          <w:lang w:val="en-US"/>
        </w:rPr>
        <w:t xml:space="preserve"> </w:t>
      </w:r>
    </w:p>
    <w:p w14:paraId="1A8CAE78" w14:textId="23AA14D4" w:rsidR="00FD6322" w:rsidRDefault="00FD6322" w:rsidP="00D0541C">
      <w:pPr>
        <w:spacing w:after="0" w:line="480" w:lineRule="auto"/>
        <w:ind w:firstLine="720"/>
        <w:rPr>
          <w:lang w:val="en-US"/>
        </w:rPr>
      </w:pPr>
      <w:r w:rsidRPr="00FD6322">
        <w:rPr>
          <w:lang w:val="en-US"/>
        </w:rPr>
        <w:t xml:space="preserve">The Siege of Leningrad became central element of Soviet </w:t>
      </w:r>
      <w:r w:rsidR="000B7412" w:rsidRPr="00FD6322">
        <w:rPr>
          <w:lang w:val="en-US"/>
        </w:rPr>
        <w:t>identity</w:t>
      </w:r>
      <w:r w:rsidRPr="00FD6322">
        <w:rPr>
          <w:lang w:val="en-US"/>
        </w:rPr>
        <w:t xml:space="preserve">, and it is embedded in rituals, monuments and official rhetoric. However, sacralization of the blockade often put heroism and unity on the first place and minimized hunger and moral ambiguity. </w:t>
      </w:r>
      <w:r w:rsidR="00D0541C" w:rsidRPr="00D0541C">
        <w:rPr>
          <w:lang w:val="en-US"/>
        </w:rPr>
        <w:t>In LaCapra's terminology, such commemorative events can be seen as forms of acting out</w:t>
      </w:r>
      <w:r w:rsidR="00D0541C">
        <w:rPr>
          <w:lang w:val="en-US"/>
        </w:rPr>
        <w:t>, which is</w:t>
      </w:r>
      <w:r w:rsidR="00D0541C" w:rsidRPr="00D0541C">
        <w:rPr>
          <w:lang w:val="en-US"/>
        </w:rPr>
        <w:t xml:space="preserve"> melancholic repetition where trauma is compulsively revisited without being critically mourned. In contrast, diaries show attempts to </w:t>
      </w:r>
      <w:r w:rsidR="00D0541C">
        <w:rPr>
          <w:lang w:val="en-US"/>
        </w:rPr>
        <w:t>“</w:t>
      </w:r>
      <w:r w:rsidR="00D0541C" w:rsidRPr="00D0541C">
        <w:rPr>
          <w:lang w:val="en-US"/>
        </w:rPr>
        <w:t>work through</w:t>
      </w:r>
      <w:r w:rsidR="00D0541C">
        <w:rPr>
          <w:lang w:val="en-US"/>
        </w:rPr>
        <w:t>”</w:t>
      </w:r>
      <w:r w:rsidR="00D0541C" w:rsidRPr="00D0541C">
        <w:rPr>
          <w:lang w:val="en-US"/>
        </w:rPr>
        <w:t xml:space="preserve"> the experience on an individual level through writing and reflecting on it. A parallel case is the Soviet Union's memory of the Holocaust, where the specific Jewish tragedy was systematically subsumed into a universal narrative of </w:t>
      </w:r>
      <w:r w:rsidR="00D0541C">
        <w:rPr>
          <w:lang w:val="en-US"/>
        </w:rPr>
        <w:t>“</w:t>
      </w:r>
      <w:r w:rsidR="00D0541C" w:rsidRPr="00D0541C">
        <w:rPr>
          <w:lang w:val="en-US"/>
        </w:rPr>
        <w:t>fascist atrocities</w:t>
      </w:r>
      <w:r w:rsidR="00D0541C">
        <w:rPr>
          <w:lang w:val="en-US"/>
        </w:rPr>
        <w:t xml:space="preserve">”, </w:t>
      </w:r>
      <w:r w:rsidR="00D0541C" w:rsidRPr="00D0541C">
        <w:rPr>
          <w:lang w:val="en-US"/>
        </w:rPr>
        <w:t>another instance of trauma being actively repressed rather than confronted</w:t>
      </w:r>
      <w:r w:rsidR="0080353E" w:rsidRPr="0080353E">
        <w:rPr>
          <w:lang w:val="en-US"/>
        </w:rPr>
        <w:t>.</w:t>
      </w:r>
      <w:r w:rsidR="00D0541C">
        <w:rPr>
          <w:lang w:val="en-US"/>
        </w:rPr>
        <w:t xml:space="preserve"> </w:t>
      </w:r>
      <w:r w:rsidRPr="00FD6322">
        <w:rPr>
          <w:lang w:val="en-US"/>
        </w:rPr>
        <w:t xml:space="preserve">This comparative approach allows project to trace tension </w:t>
      </w:r>
      <w:r w:rsidRPr="00FD6322">
        <w:rPr>
          <w:lang w:val="en-US"/>
        </w:rPr>
        <w:lastRenderedPageBreak/>
        <w:t>between lived memory and institutionalized myth. Diaries preserve contradiction and vulnerability, whe</w:t>
      </w:r>
      <w:r w:rsidR="0080353E">
        <w:rPr>
          <w:lang w:val="en-US"/>
        </w:rPr>
        <w:t>reas</w:t>
      </w:r>
      <w:r w:rsidRPr="00FD6322">
        <w:rPr>
          <w:lang w:val="en-US"/>
        </w:rPr>
        <w:t xml:space="preserve"> state narrative seek coherence and moral clarity. The difference between these two forms of memory </w:t>
      </w:r>
      <w:r w:rsidR="0080353E">
        <w:rPr>
          <w:lang w:val="en-US"/>
        </w:rPr>
        <w:t xml:space="preserve">constitutes </w:t>
      </w:r>
      <w:r w:rsidRPr="00FD6322">
        <w:rPr>
          <w:lang w:val="en-US"/>
        </w:rPr>
        <w:t>central analytical theme of this study.</w:t>
      </w:r>
    </w:p>
    <w:p w14:paraId="10F9EACD" w14:textId="490E8F49" w:rsidR="00241893" w:rsidRPr="00380893" w:rsidRDefault="00380893" w:rsidP="00380893">
      <w:pPr>
        <w:spacing w:after="0" w:line="480" w:lineRule="auto"/>
        <w:rPr>
          <w:b/>
          <w:bCs/>
          <w:lang w:val="en-US"/>
        </w:rPr>
      </w:pPr>
      <w:r w:rsidRPr="00380893">
        <w:rPr>
          <w:b/>
          <w:bCs/>
          <w:lang w:val="en-US"/>
        </w:rPr>
        <w:t>Historical Context of the Siege</w:t>
      </w:r>
    </w:p>
    <w:p w14:paraId="65C470F3" w14:textId="6C1A5E63" w:rsidR="00FD6322" w:rsidRDefault="00D0541C" w:rsidP="00FD6322">
      <w:pPr>
        <w:spacing w:after="0" w:line="480" w:lineRule="auto"/>
        <w:ind w:firstLine="720"/>
        <w:rPr>
          <w:lang w:val="en-US"/>
        </w:rPr>
      </w:pPr>
      <w:r w:rsidRPr="00D0541C">
        <w:rPr>
          <w:lang w:val="en-US"/>
        </w:rPr>
        <w:t>Before analyzing how diaries functioned as survival strategies, it is necessary to understand the historical conditions under which they were written.</w:t>
      </w:r>
      <w:r>
        <w:rPr>
          <w:lang w:val="en-US"/>
        </w:rPr>
        <w:t xml:space="preserve"> </w:t>
      </w:r>
      <w:r w:rsidR="00FD6322">
        <w:rPr>
          <w:lang w:val="en-US"/>
        </w:rPr>
        <w:t>The siege began on 8</w:t>
      </w:r>
      <w:r w:rsidR="00FD6322" w:rsidRPr="001C6184">
        <w:rPr>
          <w:vertAlign w:val="superscript"/>
          <w:lang w:val="en-US"/>
        </w:rPr>
        <w:t>th</w:t>
      </w:r>
      <w:r w:rsidR="00FD6322">
        <w:rPr>
          <w:lang w:val="en-US"/>
        </w:rPr>
        <w:t xml:space="preserve"> September 1941 when German and Finnish forces encircled city after rapid advances across northwestern front. As mentioned before, Stalin’s prewar strategies left Leningrad vulnerable, since officials avoided building fortifications, because of fear of accusations of defeatism. When encirclement was complete only connection to the outside world was across Lake Ladoga.</w:t>
      </w:r>
      <w:r w:rsidR="00FD6322">
        <w:rPr>
          <w:rStyle w:val="ae"/>
          <w:lang w:val="en-US"/>
        </w:rPr>
        <w:footnoteReference w:id="10"/>
      </w:r>
    </w:p>
    <w:p w14:paraId="65E05CC6" w14:textId="0C2EC3A2" w:rsidR="00932E78" w:rsidRDefault="00932E78" w:rsidP="0066480A">
      <w:pPr>
        <w:spacing w:after="0" w:line="480" w:lineRule="auto"/>
        <w:ind w:firstLine="720"/>
        <w:rPr>
          <w:lang w:val="en-US"/>
        </w:rPr>
      </w:pPr>
      <w:r>
        <w:rPr>
          <w:lang w:val="en-US"/>
        </w:rPr>
        <w:t xml:space="preserve">The first winter of blockade was the worst of all, temperatures dropped to -30 C and electricity grid failed and water pipes froze. People melted snow to drink and burned furniture for heat, and carried dead bodies in sleds to mass graves. Documents published in the book of </w:t>
      </w:r>
      <w:r w:rsidRPr="009E1CE4">
        <w:rPr>
          <w:lang w:val="en-US"/>
        </w:rPr>
        <w:t>Richard Bidlack and Nikita Lomagin</w:t>
      </w:r>
      <w:r>
        <w:rPr>
          <w:lang w:val="en-US"/>
        </w:rPr>
        <w:t xml:space="preserve"> describe this rapid collapse of city life, for example by November 1941 daily bread rations fell to 125 grams for dependents and 250 grams for workers, and it was mostly cooked with cellulose or sawdust.</w:t>
      </w:r>
      <w:r>
        <w:rPr>
          <w:rStyle w:val="ae"/>
          <w:lang w:val="en-US"/>
        </w:rPr>
        <w:footnoteReference w:id="11"/>
      </w:r>
      <w:r>
        <w:rPr>
          <w:lang w:val="en-US"/>
        </w:rPr>
        <w:t xml:space="preserve"> In NKVD reports presented in that book, it is noted that mortality rose exponentially, since between December 1941 and February 1941 over 200</w:t>
      </w:r>
      <w:r w:rsidR="004C3E37">
        <w:rPr>
          <w:lang w:val="en-US"/>
        </w:rPr>
        <w:t xml:space="preserve"> </w:t>
      </w:r>
      <w:r>
        <w:rPr>
          <w:lang w:val="en-US"/>
        </w:rPr>
        <w:t>000 people died mostly because of hunger and cold.</w:t>
      </w:r>
      <w:r>
        <w:rPr>
          <w:rStyle w:val="ae"/>
          <w:lang w:val="en-US"/>
        </w:rPr>
        <w:footnoteReference w:id="12"/>
      </w:r>
      <w:r>
        <w:rPr>
          <w:lang w:val="en-US"/>
        </w:rPr>
        <w:t xml:space="preserve"> However, official memoranda continued to demand the same productivity from workers and they were urged to meet industrial targets even as they collapsed from exhaustion at their machines.</w:t>
      </w:r>
      <w:r w:rsidRPr="00031F86">
        <w:rPr>
          <w:lang w:val="en-US"/>
        </w:rPr>
        <w:t xml:space="preserve"> </w:t>
      </w:r>
      <w:r>
        <w:rPr>
          <w:lang w:val="en-US"/>
        </w:rPr>
        <w:t xml:space="preserve">In some reports it is described that entire neighborhoods silently dying: “There are cases where apartments are filled with corpses and no one has the strength to carry them </w:t>
      </w:r>
      <w:r>
        <w:rPr>
          <w:lang w:val="en-US"/>
        </w:rPr>
        <w:lastRenderedPageBreak/>
        <w:t>out.”</w:t>
      </w:r>
      <w:r>
        <w:rPr>
          <w:rStyle w:val="ae"/>
          <w:lang w:val="en-US"/>
        </w:rPr>
        <w:footnoteReference w:id="13"/>
      </w:r>
      <w:r>
        <w:rPr>
          <w:lang w:val="en-US"/>
        </w:rPr>
        <w:t xml:space="preserve"> Despite this official slogans urged civilians that “work is our weapon </w:t>
      </w:r>
      <w:r w:rsidR="0066480A">
        <w:rPr>
          <w:lang w:val="en-US"/>
        </w:rPr>
        <w:t>-</w:t>
      </w:r>
      <w:r>
        <w:rPr>
          <w:lang w:val="en-US"/>
        </w:rPr>
        <w:t xml:space="preserve"> each factory is a fortress” and this propaganda posters declared that every worker was fighting on “home front”. By this government constructed moral equivalence between industrial labor and combat.</w:t>
      </w:r>
      <w:r>
        <w:rPr>
          <w:rStyle w:val="ae"/>
          <w:lang w:val="en-US"/>
        </w:rPr>
        <w:footnoteReference w:id="14"/>
      </w:r>
    </w:p>
    <w:p w14:paraId="20AA6357" w14:textId="08E7CE77" w:rsidR="00932E78" w:rsidRPr="0066480A" w:rsidRDefault="00932E78" w:rsidP="00362232">
      <w:pPr>
        <w:spacing w:after="0" w:line="480" w:lineRule="auto"/>
        <w:ind w:firstLine="720"/>
        <w:rPr>
          <w:lang w:val="en-US"/>
        </w:rPr>
      </w:pPr>
      <w:r w:rsidRPr="0003399E">
        <w:rPr>
          <w:lang w:val="en-US"/>
        </w:rPr>
        <w:t>In March 1942, Andrei Zhdanov, the city’s party chief, asked Moscow to ban individual food parcels, fearing the “political consequences” of publicizing the city’s hunger. The order was approved.</w:t>
      </w:r>
      <w:r>
        <w:rPr>
          <w:rStyle w:val="ae"/>
          <w:lang w:val="en-US"/>
        </w:rPr>
        <w:footnoteReference w:id="15"/>
      </w:r>
      <w:r w:rsidRPr="0003399E">
        <w:rPr>
          <w:lang w:val="en-US"/>
        </w:rPr>
        <w:t xml:space="preserve"> This decision epitomizes the double barbarism that Freydenberg described</w:t>
      </w:r>
      <w:r>
        <w:rPr>
          <w:lang w:val="en-US"/>
        </w:rPr>
        <w:t xml:space="preserve">, </w:t>
      </w:r>
      <w:r w:rsidRPr="0003399E">
        <w:rPr>
          <w:lang w:val="en-US"/>
        </w:rPr>
        <w:t>the cruelty of the German bombardment and the callous indifference of Stalin’s regime.</w:t>
      </w:r>
      <w:r w:rsidR="00362232">
        <w:rPr>
          <w:lang w:val="en-US"/>
        </w:rPr>
        <w:t xml:space="preserve"> </w:t>
      </w:r>
      <w:r w:rsidRPr="0003399E">
        <w:rPr>
          <w:lang w:val="en-US"/>
        </w:rPr>
        <w:t xml:space="preserve">Meanwhile, the privileged few, officials, writers loyal to the Party, and those close to power, lived in a different reality. They ate well, attended special canteens, and continued to speak the language of ideology. </w:t>
      </w:r>
      <w:proofErr w:type="spellStart"/>
      <w:r w:rsidRPr="0003399E">
        <w:rPr>
          <w:lang w:val="en-US"/>
        </w:rPr>
        <w:t>Dobrenko</w:t>
      </w:r>
      <w:proofErr w:type="spellEnd"/>
      <w:r w:rsidRPr="0003399E">
        <w:rPr>
          <w:lang w:val="en-US"/>
        </w:rPr>
        <w:t xml:space="preserve"> calls this state “ideological comfort”: mindset in which people experienced no physical suffering but only “ideological discomfort,” worrying about the success of the war rather than about the dying city around them.</w:t>
      </w:r>
      <w:r>
        <w:rPr>
          <w:rStyle w:val="ae"/>
          <w:lang w:val="en-US"/>
        </w:rPr>
        <w:footnoteReference w:id="16"/>
      </w:r>
      <w:r w:rsidRPr="0003399E">
        <w:rPr>
          <w:lang w:val="en-US"/>
        </w:rPr>
        <w:t xml:space="preserve"> Eidelman illustrates this with the wartime diaries of the playwright Vsevolod Vishnevsky, author of The Optimistic Tragedy. Even in January 1942, when tens of thousands were dying each month, Vishnevsky’s diary contained almost no reference to hunger or death. Instead, he wrote about beauty of frozen city and the heroism of its citizens: “We will show the world who the Petersburgers are.” For him, personal suffering was irrelevant compared to collective glory. As Eidelman observes, he did not even realize he was writing propaganda</w:t>
      </w:r>
      <w:r>
        <w:rPr>
          <w:lang w:val="en-US"/>
        </w:rPr>
        <w:t>,</w:t>
      </w:r>
      <w:r w:rsidRPr="0003399E">
        <w:rPr>
          <w:lang w:val="en-US"/>
        </w:rPr>
        <w:t xml:space="preserve"> he could no longer think in any other terms.</w:t>
      </w:r>
      <w:r>
        <w:rPr>
          <w:rStyle w:val="ae"/>
          <w:lang w:val="en-US"/>
        </w:rPr>
        <w:footnoteReference w:id="17"/>
      </w:r>
    </w:p>
    <w:p w14:paraId="43B1C23E" w14:textId="05800494" w:rsidR="00932E78" w:rsidRDefault="00932E78" w:rsidP="0066480A">
      <w:pPr>
        <w:spacing w:after="0" w:line="480" w:lineRule="auto"/>
        <w:ind w:firstLine="720"/>
        <w:rPr>
          <w:lang w:val="en-US"/>
        </w:rPr>
      </w:pPr>
      <w:r>
        <w:rPr>
          <w:lang w:val="en-US"/>
        </w:rPr>
        <w:lastRenderedPageBreak/>
        <w:t xml:space="preserve">One of the survivors of this blockade Lidiya Ginzburg wrote that </w:t>
      </w:r>
      <w:r w:rsidR="0066480A">
        <w:rPr>
          <w:lang w:val="en-US"/>
        </w:rPr>
        <w:t>“</w:t>
      </w:r>
      <w:r>
        <w:rPr>
          <w:lang w:val="en-US"/>
        </w:rPr>
        <w:t>blockade person” existed in a state of “radical biological reduction.”</w:t>
      </w:r>
      <w:r>
        <w:rPr>
          <w:rStyle w:val="ae"/>
          <w:lang w:val="en-US"/>
        </w:rPr>
        <w:footnoteReference w:id="18"/>
      </w:r>
      <w:r>
        <w:rPr>
          <w:lang w:val="en-US"/>
        </w:rPr>
        <w:t xml:space="preserve"> Hunger eased boundaries of individuality and morality for people. The man and woman of autumn 1941 and survivor of summer 1942 were not the same people anymore. During the first month of siege people experienced bombing, death from above, but by the winter of 1941-1942 fear of death gave away to something deeper and it is omnipresence of hunger. Their thoughts became fixated on bread rations and daily routines like waiting in long lines to get food turned into survival rituals. Hunger was no longer just a physical sensation, it became primary psychological state that replaced all others. Yet paradoxically some people maintained sense of dignity through discipline, and things like recording diary entries, going to theatre and continuing artistic work. This persistence of human culture in the face of collapse became one of the central themes in postwar representation.</w:t>
      </w:r>
      <w:r>
        <w:rPr>
          <w:rStyle w:val="ae"/>
          <w:lang w:val="en-US"/>
        </w:rPr>
        <w:footnoteReference w:id="19"/>
      </w:r>
      <w:r>
        <w:rPr>
          <w:lang w:val="en-US"/>
        </w:rPr>
        <w:t xml:space="preserve"> </w:t>
      </w:r>
    </w:p>
    <w:p w14:paraId="5CF59FB2" w14:textId="31695CFB" w:rsidR="00932E78" w:rsidRDefault="00932E78" w:rsidP="000B7412">
      <w:pPr>
        <w:spacing w:after="0" w:line="480" w:lineRule="auto"/>
        <w:ind w:firstLine="720"/>
        <w:rPr>
          <w:lang w:val="en-US"/>
        </w:rPr>
      </w:pPr>
      <w:r>
        <w:rPr>
          <w:lang w:val="en-US"/>
        </w:rPr>
        <w:t xml:space="preserve">Soviet propaganda presented blockade as story of unity, but in practice city was divided by </w:t>
      </w:r>
      <w:r w:rsidR="0066480A">
        <w:rPr>
          <w:lang w:val="en-US"/>
        </w:rPr>
        <w:t>privilege</w:t>
      </w:r>
      <w:r>
        <w:rPr>
          <w:lang w:val="en-US"/>
        </w:rPr>
        <w:t>. The ration system rewarded useful laborers and punished dependents. In archival records it is shown that distribution of food often followed class lines, for example members of Party and military officers received meat and sugar, while majority survived on watery so</w:t>
      </w:r>
      <w:r w:rsidR="0066480A">
        <w:rPr>
          <w:lang w:val="en-US"/>
        </w:rPr>
        <w:t>u</w:t>
      </w:r>
      <w:r>
        <w:rPr>
          <w:lang w:val="en-US"/>
        </w:rPr>
        <w:t>p and cellulose filled breads.</w:t>
      </w:r>
      <w:r>
        <w:rPr>
          <w:rStyle w:val="ae"/>
          <w:lang w:val="en-US"/>
        </w:rPr>
        <w:footnoteReference w:id="20"/>
      </w:r>
      <w:r>
        <w:rPr>
          <w:lang w:val="en-US"/>
        </w:rPr>
        <w:t xml:space="preserve"> An NKVD document from January 1942 admitted that mortality among children and pensioners was catastrophic. It is reported that in some districts 90 percent of dependents died and cases of cannibalism have been registered.</w:t>
      </w:r>
      <w:r>
        <w:rPr>
          <w:rStyle w:val="ae"/>
          <w:lang w:val="en-US"/>
        </w:rPr>
        <w:footnoteReference w:id="21"/>
      </w:r>
      <w:r>
        <w:rPr>
          <w:lang w:val="en-US"/>
        </w:rPr>
        <w:t xml:space="preserve"> At the same time reports to Leningrad Party Committee emphasized stability of the labor force </w:t>
      </w:r>
      <w:r>
        <w:rPr>
          <w:lang w:val="en-US"/>
        </w:rPr>
        <w:lastRenderedPageBreak/>
        <w:t xml:space="preserve">and heroic mood of workers. This duality between bureaucratic optimism and physical despair shows widening gap between state rhetoric and daily reality of city. </w:t>
      </w:r>
    </w:p>
    <w:p w14:paraId="55FC5E55" w14:textId="77777777" w:rsidR="00932E78" w:rsidRDefault="00932E78" w:rsidP="000B7412">
      <w:pPr>
        <w:spacing w:after="0" w:line="480" w:lineRule="auto"/>
        <w:ind w:firstLine="720"/>
        <w:rPr>
          <w:lang w:val="en-US"/>
        </w:rPr>
      </w:pPr>
      <w:r>
        <w:rPr>
          <w:lang w:val="en-US"/>
        </w:rPr>
        <w:t>The persistence of art and music within siege was both coping mechanism and moral paradox. Even as corpses lined the streets musicians of Leningrad Philharmonic prepared for performance of Shostakovich’s seventh symphony. The broadcast performance became powerful symbol of resistance and was spread across Soviet radio. Only later historians like Polina Barskova note this act also initiated aestheticization of suffering that would dominate postwar memory.</w:t>
      </w:r>
      <w:r>
        <w:rPr>
          <w:rStyle w:val="ae"/>
          <w:lang w:val="en-US"/>
        </w:rPr>
        <w:footnoteReference w:id="22"/>
      </w:r>
      <w:r>
        <w:rPr>
          <w:lang w:val="en-US"/>
        </w:rPr>
        <w:t xml:space="preserve"> Olga Berggolts who was also another key voice of siege captures this paradox between despair and resistance in her radio broadcasts and diaries. She mentioned that while hunger and death were everywhere, official discourse demanded more “cheerfulness and endurance”. This contrast between her public persona as the voice of Leningrad and her private writings exposes ideological control over suffering. Later her words “No one is forgotten, nothing is forgotten” (</w:t>
      </w:r>
      <w:r w:rsidRPr="00190CB5">
        <w:rPr>
          <w:i/>
          <w:iCs/>
          <w:lang w:val="ru-RU"/>
        </w:rPr>
        <w:t>Никто</w:t>
      </w:r>
      <w:r w:rsidRPr="00190CB5">
        <w:rPr>
          <w:i/>
          <w:iCs/>
          <w:lang w:val="en-US"/>
        </w:rPr>
        <w:t xml:space="preserve"> </w:t>
      </w:r>
      <w:r w:rsidRPr="00190CB5">
        <w:rPr>
          <w:i/>
          <w:iCs/>
          <w:lang w:val="ru-RU"/>
        </w:rPr>
        <w:t>не</w:t>
      </w:r>
      <w:r w:rsidRPr="00190CB5">
        <w:rPr>
          <w:i/>
          <w:iCs/>
          <w:lang w:val="en-US"/>
        </w:rPr>
        <w:t xml:space="preserve"> </w:t>
      </w:r>
      <w:r w:rsidRPr="00190CB5">
        <w:rPr>
          <w:i/>
          <w:iCs/>
          <w:lang w:val="ru-RU"/>
        </w:rPr>
        <w:t>забыт</w:t>
      </w:r>
      <w:r w:rsidRPr="00190CB5">
        <w:rPr>
          <w:i/>
          <w:iCs/>
          <w:lang w:val="en-US"/>
        </w:rPr>
        <w:t xml:space="preserve">, </w:t>
      </w:r>
      <w:r w:rsidRPr="00190CB5">
        <w:rPr>
          <w:i/>
          <w:iCs/>
          <w:lang w:val="ru-RU"/>
        </w:rPr>
        <w:t>ничто</w:t>
      </w:r>
      <w:r w:rsidRPr="00190CB5">
        <w:rPr>
          <w:i/>
          <w:iCs/>
          <w:lang w:val="en-US"/>
        </w:rPr>
        <w:t xml:space="preserve"> </w:t>
      </w:r>
      <w:r w:rsidRPr="00190CB5">
        <w:rPr>
          <w:i/>
          <w:iCs/>
          <w:lang w:val="ru-RU"/>
        </w:rPr>
        <w:t>не</w:t>
      </w:r>
      <w:r w:rsidRPr="00190CB5">
        <w:rPr>
          <w:i/>
          <w:iCs/>
          <w:lang w:val="en-US"/>
        </w:rPr>
        <w:t xml:space="preserve"> </w:t>
      </w:r>
      <w:r w:rsidRPr="00190CB5">
        <w:rPr>
          <w:i/>
          <w:iCs/>
          <w:lang w:val="ru-RU"/>
        </w:rPr>
        <w:t>забыто</w:t>
      </w:r>
      <w:r w:rsidRPr="00190CB5">
        <w:rPr>
          <w:lang w:val="en-US"/>
        </w:rPr>
        <w:t>)</w:t>
      </w:r>
      <w:r>
        <w:rPr>
          <w:lang w:val="en-US"/>
        </w:rPr>
        <w:t xml:space="preserve"> later became defining slogan of Soviet memory and it turned this cry of mourning into state-sanctioned phrase of victory.</w:t>
      </w:r>
      <w:r>
        <w:rPr>
          <w:rStyle w:val="ae"/>
          <w:lang w:val="en-US"/>
        </w:rPr>
        <w:footnoteReference w:id="23"/>
      </w:r>
      <w:r>
        <w:rPr>
          <w:lang w:val="en-US"/>
        </w:rPr>
        <w:t xml:space="preserve"> The dead people were like martyrs and living as their moral heirs. Commemorations like </w:t>
      </w:r>
      <w:proofErr w:type="spellStart"/>
      <w:r>
        <w:rPr>
          <w:lang w:val="en-US"/>
        </w:rPr>
        <w:t>Piskarevskoye</w:t>
      </w:r>
      <w:proofErr w:type="spellEnd"/>
      <w:r>
        <w:rPr>
          <w:lang w:val="en-US"/>
        </w:rPr>
        <w:t xml:space="preserve"> Memorial Cemetery enshrined collective sacrifice people did but silenced individual pain.</w:t>
      </w:r>
    </w:p>
    <w:p w14:paraId="4DBBC795" w14:textId="3661DB03" w:rsidR="00932E78" w:rsidRPr="008912B0" w:rsidRDefault="00932E78" w:rsidP="000B7412">
      <w:pPr>
        <w:spacing w:after="0" w:line="480" w:lineRule="auto"/>
        <w:ind w:firstLine="720"/>
        <w:rPr>
          <w:lang w:val="en-US"/>
        </w:rPr>
      </w:pPr>
      <w:r>
        <w:rPr>
          <w:lang w:val="en-US"/>
        </w:rPr>
        <w:t>In another report from Leningrad City Health Department, it is describe</w:t>
      </w:r>
      <w:r w:rsidR="00362232">
        <w:rPr>
          <w:lang w:val="en-US"/>
        </w:rPr>
        <w:t>d</w:t>
      </w:r>
      <w:r>
        <w:rPr>
          <w:lang w:val="en-US"/>
        </w:rPr>
        <w:t xml:space="preserve"> that morgues were so full that “corpses are taken to staircases and courtyards to freeze until </w:t>
      </w:r>
      <w:proofErr w:type="spellStart"/>
      <w:r>
        <w:rPr>
          <w:lang w:val="en-US"/>
        </w:rPr>
        <w:t>spiring</w:t>
      </w:r>
      <w:proofErr w:type="spellEnd"/>
      <w:r>
        <w:rPr>
          <w:lang w:val="en-US"/>
        </w:rPr>
        <w:t>.”</w:t>
      </w:r>
      <w:r>
        <w:rPr>
          <w:rStyle w:val="ae"/>
          <w:lang w:val="en-US"/>
        </w:rPr>
        <w:footnoteReference w:id="24"/>
      </w:r>
      <w:r>
        <w:rPr>
          <w:lang w:val="en-US"/>
        </w:rPr>
        <w:t xml:space="preserve"> Despite these horrors officials emphasized discipline and obedience. Posters displayed slogans like “Leningrad will not bow!” or “Every citizen is a defender!”</w:t>
      </w:r>
      <w:r>
        <w:rPr>
          <w:rStyle w:val="ae"/>
          <w:lang w:val="en-US"/>
        </w:rPr>
        <w:footnoteReference w:id="25"/>
      </w:r>
      <w:r>
        <w:rPr>
          <w:lang w:val="en-US"/>
        </w:rPr>
        <w:t xml:space="preserve"> At the same time, acts of solidarity among humans persisted. Libraries reopened, schools resumed </w:t>
      </w:r>
      <w:r>
        <w:rPr>
          <w:lang w:val="en-US"/>
        </w:rPr>
        <w:lastRenderedPageBreak/>
        <w:t>lessons and citizens exchanged poems or handmade notebooks. Ginzburg recalled that even in the darkest winter, she with her friends would read Pushkin’ works aloud “to remind ourselves that we were still human.”</w:t>
      </w:r>
      <w:r>
        <w:rPr>
          <w:rStyle w:val="ae"/>
          <w:lang w:val="en-US"/>
        </w:rPr>
        <w:footnoteReference w:id="26"/>
      </w:r>
      <w:r>
        <w:rPr>
          <w:lang w:val="en-US"/>
        </w:rPr>
        <w:t xml:space="preserve"> This fragile humanism became central to later representations of </w:t>
      </w:r>
      <w:r w:rsidR="00362232">
        <w:rPr>
          <w:lang w:val="en-US"/>
        </w:rPr>
        <w:t>blockade</w:t>
      </w:r>
      <w:r>
        <w:rPr>
          <w:lang w:val="en-US"/>
        </w:rPr>
        <w:t>. Shostakovich’ Seventh Symphony that was performed in 1942, encapsulates this ambivalence. The symphony’s triumphal finale was interpreted as victory over enemy, but survivors later said that it also expressed their grief for dead.</w:t>
      </w:r>
      <w:r>
        <w:rPr>
          <w:rStyle w:val="ae"/>
          <w:lang w:val="en-US"/>
        </w:rPr>
        <w:footnoteReference w:id="27"/>
      </w:r>
      <w:r>
        <w:rPr>
          <w:lang w:val="en-US"/>
        </w:rPr>
        <w:t xml:space="preserve"> The Performance was broadcasted across the city and even in German lines, so it symbolized endurance through art not violence. Yet, as Barskova notes states quickly appropriated moment and transformed it into propaganda.</w:t>
      </w:r>
      <w:r>
        <w:rPr>
          <w:rStyle w:val="ae"/>
          <w:lang w:val="en-US"/>
        </w:rPr>
        <w:footnoteReference w:id="28"/>
      </w:r>
    </w:p>
    <w:p w14:paraId="37E47DC4" w14:textId="4F3912D1" w:rsidR="00932E78" w:rsidRDefault="00932E78" w:rsidP="000B7412">
      <w:pPr>
        <w:spacing w:after="0" w:line="480" w:lineRule="auto"/>
        <w:ind w:firstLine="720"/>
        <w:rPr>
          <w:lang w:val="en-US"/>
        </w:rPr>
      </w:pPr>
      <w:r>
        <w:rPr>
          <w:lang w:val="en-US"/>
        </w:rPr>
        <w:t>Nina Tumarkin in her book argues that Soviet regime built “cult of World War II” that fused mourning with loyalty to the state.</w:t>
      </w:r>
      <w:r>
        <w:rPr>
          <w:rStyle w:val="ae"/>
          <w:lang w:val="en-US"/>
        </w:rPr>
        <w:footnoteReference w:id="29"/>
      </w:r>
      <w:r>
        <w:rPr>
          <w:lang w:val="en-US"/>
        </w:rPr>
        <w:t xml:space="preserve"> And as the most extreme instance of civilian endurance Siege of Leningrad became its moral center. To question official story was to risk appearing ungrateful to the people who died during wartime. Author notes that even after Stalin’s death this myth persisted and reinforced through parades and films such as The Unconquered Leningraders (1957).</w:t>
      </w:r>
      <w:r>
        <w:rPr>
          <w:rStyle w:val="ae"/>
          <w:lang w:val="en-US"/>
        </w:rPr>
        <w:footnoteReference w:id="30"/>
      </w:r>
      <w:r>
        <w:rPr>
          <w:lang w:val="en-US"/>
        </w:rPr>
        <w:t xml:space="preserve"> This transformation was politically useful for government.  The myth of unity allowed regime to conceal its failures, such as initial military unpreparedness and regime’s refusal to evacuate civilians earlier. In other terms we could say that it turned trauma into inspiration. Artists and poets who survived blockade like Berggolts and Akhmatova produced works that blended sorrow with exaltation. Barskova calls this aesthetic “poetics of endurance” in which suffering is purified through art.</w:t>
      </w:r>
      <w:r>
        <w:rPr>
          <w:rStyle w:val="ae"/>
          <w:lang w:val="en-US"/>
        </w:rPr>
        <w:footnoteReference w:id="31"/>
      </w:r>
      <w:r>
        <w:rPr>
          <w:lang w:val="en-US"/>
        </w:rPr>
        <w:t xml:space="preserve"> However, this stylization also prevented honest confrontation with siege’s moral complexity. The diaries of </w:t>
      </w:r>
      <w:r>
        <w:rPr>
          <w:lang w:val="en-US"/>
        </w:rPr>
        <w:lastRenderedPageBreak/>
        <w:t xml:space="preserve">ordinary people tell very different stories where people felt guilt for surviving, where people envied others’ death or people who found themselves indifferent to human suffering. Alexis Peri notes that such emotions were </w:t>
      </w:r>
      <w:r w:rsidR="0066480A">
        <w:rPr>
          <w:lang w:val="en-US"/>
        </w:rPr>
        <w:t>incompatible</w:t>
      </w:r>
      <w:r>
        <w:rPr>
          <w:lang w:val="en-US"/>
        </w:rPr>
        <w:t xml:space="preserve"> with heroic ideal. Author writes: “Survivors were burdened with sense that their endurance had come at the cost of their humanity.”</w:t>
      </w:r>
      <w:r>
        <w:rPr>
          <w:rStyle w:val="ae"/>
          <w:lang w:val="en-US"/>
        </w:rPr>
        <w:footnoteReference w:id="32"/>
      </w:r>
      <w:r>
        <w:rPr>
          <w:lang w:val="en-US"/>
        </w:rPr>
        <w:t xml:space="preserve"> </w:t>
      </w:r>
    </w:p>
    <w:p w14:paraId="53B98B7D" w14:textId="644B9906" w:rsidR="00932E78" w:rsidRDefault="00932E78" w:rsidP="00932E78">
      <w:pPr>
        <w:spacing w:after="0" w:line="480" w:lineRule="auto"/>
        <w:rPr>
          <w:lang w:val="en-US"/>
        </w:rPr>
      </w:pPr>
      <w:r>
        <w:rPr>
          <w:lang w:val="en-US"/>
        </w:rPr>
        <w:t xml:space="preserve">How can inhumane experience be described? In the decades immediately following war, discussion of starvation that happened in blockade was forbidden. When writers Ales Adamovich and Danil Granin publish The Blockade Book it was revolutionary because it dared to document physical reality of hunger. Yet even that collection could not reach true depth. Granin himself when he was recording witnesses, sometimes stopped writing because he knew that stories he was hearing could </w:t>
      </w:r>
      <w:r w:rsidR="00195E79">
        <w:rPr>
          <w:lang w:val="en-US"/>
        </w:rPr>
        <w:t>not</w:t>
      </w:r>
      <w:r>
        <w:rPr>
          <w:lang w:val="en-US"/>
        </w:rPr>
        <w:t xml:space="preserve"> be published.</w:t>
      </w:r>
      <w:r>
        <w:rPr>
          <w:rStyle w:val="ae"/>
          <w:lang w:val="en-US"/>
        </w:rPr>
        <w:footnoteReference w:id="33"/>
      </w:r>
      <w:r>
        <w:rPr>
          <w:lang w:val="en-US"/>
        </w:rPr>
        <w:t xml:space="preserve"> What happened in Leningrad belonged to realm of experience that language could hardly bear. As literary scholar Evgeny Dobrenko later wrote, people who were relatively well fed, people like Berggolts who still had access to food and heating were capable of writing about hunger at all. Those who were truly starving were already beyond words.</w:t>
      </w:r>
      <w:r>
        <w:rPr>
          <w:rStyle w:val="ae"/>
          <w:lang w:val="en-US"/>
        </w:rPr>
        <w:footnoteReference w:id="34"/>
      </w:r>
      <w:r>
        <w:rPr>
          <w:lang w:val="en-US"/>
        </w:rPr>
        <w:t xml:space="preserve"> </w:t>
      </w:r>
    </w:p>
    <w:p w14:paraId="444418B8" w14:textId="7EAA7AA3" w:rsidR="00195E79" w:rsidRDefault="00932E78" w:rsidP="00380893">
      <w:pPr>
        <w:spacing w:after="0" w:line="480" w:lineRule="auto"/>
        <w:ind w:firstLine="720"/>
        <w:rPr>
          <w:lang w:val="en-US"/>
        </w:rPr>
      </w:pPr>
      <w:r>
        <w:rPr>
          <w:lang w:val="en-US"/>
        </w:rPr>
        <w:t xml:space="preserve">The blockade person was not a </w:t>
      </w:r>
      <w:r w:rsidR="00362232">
        <w:rPr>
          <w:lang w:val="en-US"/>
        </w:rPr>
        <w:t>symbol</w:t>
      </w:r>
      <w:r>
        <w:rPr>
          <w:lang w:val="en-US"/>
        </w:rPr>
        <w:t xml:space="preserve"> of endurance but a living and suffering being, torn between instincts of survival and culture. Through voiced of siege we can trace how civilization disintegrated layer by layer, but not only this, also how in its ruins humanity survived. The </w:t>
      </w:r>
      <w:r w:rsidR="00195E79">
        <w:rPr>
          <w:lang w:val="en-US"/>
        </w:rPr>
        <w:t>Lena</w:t>
      </w:r>
      <w:r>
        <w:rPr>
          <w:lang w:val="en-US"/>
        </w:rPr>
        <w:t xml:space="preserve">’s diaries, poems of Berggolts and notes by Ginzburg, and symphony of Shostakovich all speak different registers, but together ask same question: what does it mean to remain human under inhuman conditions? Soviet government answered that pain needs to turn into triumph and death into victory. People’s answer that was recorded in diaries was to remember everything and refuse to erase, even though horrible experience was enough to collapse language itself.   </w:t>
      </w:r>
    </w:p>
    <w:p w14:paraId="6602F146" w14:textId="23679314" w:rsidR="000B7412" w:rsidRPr="00BB54E8" w:rsidRDefault="000B7412" w:rsidP="000B7412">
      <w:pPr>
        <w:spacing w:after="0" w:line="480" w:lineRule="auto"/>
        <w:rPr>
          <w:b/>
          <w:bCs/>
          <w:lang w:val="en-US"/>
        </w:rPr>
      </w:pPr>
      <w:r w:rsidRPr="00BB54E8">
        <w:rPr>
          <w:b/>
          <w:bCs/>
          <w:lang w:val="en-US"/>
        </w:rPr>
        <w:lastRenderedPageBreak/>
        <w:t xml:space="preserve">The </w:t>
      </w:r>
      <w:r w:rsidR="00BB54E8">
        <w:rPr>
          <w:b/>
          <w:bCs/>
          <w:lang w:val="en-US"/>
        </w:rPr>
        <w:t>D</w:t>
      </w:r>
      <w:r w:rsidRPr="00BB54E8">
        <w:rPr>
          <w:b/>
          <w:bCs/>
          <w:lang w:val="en-US"/>
        </w:rPr>
        <w:t xml:space="preserve">iary as </w:t>
      </w:r>
      <w:r w:rsidR="00BB54E8">
        <w:rPr>
          <w:b/>
          <w:bCs/>
          <w:lang w:val="en-US"/>
        </w:rPr>
        <w:t>S</w:t>
      </w:r>
      <w:r w:rsidRPr="00BB54E8">
        <w:rPr>
          <w:b/>
          <w:bCs/>
          <w:lang w:val="en-US"/>
        </w:rPr>
        <w:t xml:space="preserve">urvival </w:t>
      </w:r>
      <w:r w:rsidR="00BB54E8">
        <w:rPr>
          <w:b/>
          <w:bCs/>
          <w:lang w:val="en-US"/>
        </w:rPr>
        <w:t>M</w:t>
      </w:r>
      <w:r w:rsidRPr="00BB54E8">
        <w:rPr>
          <w:b/>
          <w:bCs/>
          <w:lang w:val="en-US"/>
        </w:rPr>
        <w:t>ethod</w:t>
      </w:r>
    </w:p>
    <w:p w14:paraId="65B65D55" w14:textId="4670C99E" w:rsidR="008F4810" w:rsidRPr="00FF33AB" w:rsidRDefault="000B7412" w:rsidP="008F4810">
      <w:pPr>
        <w:spacing w:after="0" w:line="480" w:lineRule="auto"/>
        <w:rPr>
          <w:lang w:val="en-US"/>
        </w:rPr>
      </w:pPr>
      <w:r>
        <w:rPr>
          <w:lang w:val="en-US"/>
        </w:rPr>
        <w:tab/>
        <w:t xml:space="preserve">The siege of Leningrad produced a lot of diaries, and most significant ones are from Lena Mukhina and Lidiya Ginzburg. Their similarity lay that they are both written during siege, </w:t>
      </w:r>
      <w:r w:rsidR="009E2DCD">
        <w:rPr>
          <w:lang w:val="en-US"/>
        </w:rPr>
        <w:t>otherwise they are</w:t>
      </w:r>
      <w:r>
        <w:rPr>
          <w:lang w:val="en-US"/>
        </w:rPr>
        <w:t xml:space="preserve"> strikingly different from each other. The diary of </w:t>
      </w:r>
      <w:r w:rsidR="009E2DCD">
        <w:rPr>
          <w:lang w:val="en-US"/>
        </w:rPr>
        <w:t xml:space="preserve">an </w:t>
      </w:r>
      <w:r>
        <w:rPr>
          <w:lang w:val="en-US"/>
        </w:rPr>
        <w:t xml:space="preserve">adolescent schoolgirl Lena and </w:t>
      </w:r>
      <w:r w:rsidR="009E2DCD">
        <w:rPr>
          <w:lang w:val="en-US"/>
        </w:rPr>
        <w:t xml:space="preserve">a </w:t>
      </w:r>
      <w:r>
        <w:rPr>
          <w:lang w:val="en-US"/>
        </w:rPr>
        <w:t xml:space="preserve">reflective prose of literary schola Lidiya Ginzburg. Both of them used writing as fundamental coping mechanism, yet their strategies reveal distinct psychological responses to starvation. Lena </w:t>
      </w:r>
      <w:proofErr w:type="spellStart"/>
      <w:r>
        <w:rPr>
          <w:lang w:val="en-US"/>
        </w:rPr>
        <w:t>contrsucted</w:t>
      </w:r>
      <w:proofErr w:type="spellEnd"/>
      <w:r>
        <w:rPr>
          <w:lang w:val="en-US"/>
        </w:rPr>
        <w:t xml:space="preserve"> narrative shield, transforming lived catastrophe into literary project that preserved emotional </w:t>
      </w:r>
      <w:proofErr w:type="spellStart"/>
      <w:r>
        <w:rPr>
          <w:lang w:val="en-US"/>
        </w:rPr>
        <w:t>contiuity</w:t>
      </w:r>
      <w:proofErr w:type="spellEnd"/>
      <w:r>
        <w:rPr>
          <w:lang w:val="en-US"/>
        </w:rPr>
        <w:t>.</w:t>
      </w:r>
      <w:r>
        <w:rPr>
          <w:rStyle w:val="ae"/>
          <w:lang w:val="en-US"/>
        </w:rPr>
        <w:footnoteReference w:id="35"/>
      </w:r>
      <w:r>
        <w:rPr>
          <w:lang w:val="en-US"/>
        </w:rPr>
        <w:t xml:space="preserve"> On contrast, Ginzburg subjected experience to rigorous intellectual scrutiny, and transformed “literalness” of suffering into an object of artistic cognition.</w:t>
      </w:r>
      <w:r>
        <w:rPr>
          <w:rStyle w:val="ae"/>
          <w:lang w:val="en-US"/>
        </w:rPr>
        <w:footnoteReference w:id="36"/>
      </w:r>
      <w:r>
        <w:rPr>
          <w:lang w:val="en-US"/>
        </w:rPr>
        <w:t xml:space="preserve"> If Lena survived by imagining beyond hunger, Ginzburg survived by analyzing it. Together, their texts demonstrate that writing during siege was  not passive documentation but active posture in the struggle for identity. </w:t>
      </w:r>
    </w:p>
    <w:p w14:paraId="7420088F" w14:textId="179C2B63" w:rsidR="008F4810" w:rsidRPr="00FF33AB" w:rsidRDefault="008F4810" w:rsidP="00DD74CA">
      <w:pPr>
        <w:spacing w:after="0" w:line="480" w:lineRule="auto"/>
        <w:rPr>
          <w:b/>
          <w:bCs/>
          <w:lang w:val="en-US"/>
        </w:rPr>
      </w:pPr>
      <w:r w:rsidRPr="00FF33AB">
        <w:rPr>
          <w:b/>
          <w:bCs/>
          <w:lang w:val="en-US"/>
        </w:rPr>
        <w:t>Hunger and Obsession with Bread</w:t>
      </w:r>
    </w:p>
    <w:p w14:paraId="39D0BAD4" w14:textId="6A5186E7" w:rsidR="00076339" w:rsidRPr="00FF33AB" w:rsidRDefault="00076339" w:rsidP="00DD74CA">
      <w:pPr>
        <w:spacing w:after="0" w:line="480" w:lineRule="auto"/>
        <w:ind w:firstLine="720"/>
        <w:rPr>
          <w:lang w:val="en-US"/>
        </w:rPr>
      </w:pPr>
      <w:r w:rsidRPr="00FF33AB">
        <w:rPr>
          <w:lang w:val="en-US"/>
        </w:rPr>
        <w:t>For</w:t>
      </w:r>
      <w:r w:rsidR="00932A54">
        <w:rPr>
          <w:lang w:val="en-US"/>
        </w:rPr>
        <w:t xml:space="preserve"> </w:t>
      </w:r>
      <w:r w:rsidRPr="00FF33AB">
        <w:rPr>
          <w:lang w:val="en-US"/>
        </w:rPr>
        <w:t>Lena</w:t>
      </w:r>
      <w:r w:rsidR="00932A54">
        <w:rPr>
          <w:lang w:val="en-US"/>
        </w:rPr>
        <w:t xml:space="preserve">, </w:t>
      </w:r>
      <w:r w:rsidRPr="00FF33AB">
        <w:rPr>
          <w:lang w:val="en-US"/>
        </w:rPr>
        <w:t xml:space="preserve">Lidiya </w:t>
      </w:r>
      <w:r w:rsidR="00932A54">
        <w:rPr>
          <w:lang w:val="en-US"/>
        </w:rPr>
        <w:t xml:space="preserve">and Olga </w:t>
      </w:r>
      <w:r w:rsidRPr="00FF33AB">
        <w:rPr>
          <w:lang w:val="en-US"/>
        </w:rPr>
        <w:t xml:space="preserve">bread became absolute measure of life. Under conditions of prolonged hunger, food was no longer simply means of survival, </w:t>
      </w:r>
      <w:r w:rsidR="009E2DCD">
        <w:rPr>
          <w:lang w:val="en-US"/>
        </w:rPr>
        <w:t>as</w:t>
      </w:r>
      <w:r w:rsidRPr="00FF33AB">
        <w:rPr>
          <w:lang w:val="en-US"/>
        </w:rPr>
        <w:t xml:space="preserve"> it changed perceptions, morals and identity. Hunger did not simply dominate daily routine, it reconstructed consciousness itself. Yet while </w:t>
      </w:r>
      <w:r w:rsidR="00932A54">
        <w:rPr>
          <w:lang w:val="en-US"/>
        </w:rPr>
        <w:t xml:space="preserve">all three </w:t>
      </w:r>
      <w:r w:rsidRPr="00FF33AB">
        <w:rPr>
          <w:lang w:val="en-US"/>
        </w:rPr>
        <w:t>diarists record it, psychological processing of this obsession differs very much</w:t>
      </w:r>
      <w:r w:rsidR="00932A54">
        <w:rPr>
          <w:lang w:val="en-US"/>
        </w:rPr>
        <w:t>.</w:t>
      </w:r>
      <w:r w:rsidR="009E2DCD">
        <w:rPr>
          <w:lang w:val="en-US"/>
        </w:rPr>
        <w:t xml:space="preserve"> </w:t>
      </w:r>
      <w:r w:rsidRPr="00FF33AB">
        <w:rPr>
          <w:lang w:val="en-US"/>
        </w:rPr>
        <w:t>Mukhina resp</w:t>
      </w:r>
      <w:r w:rsidR="009E2DCD">
        <w:rPr>
          <w:lang w:val="en-US"/>
        </w:rPr>
        <w:t>onds</w:t>
      </w:r>
      <w:r w:rsidRPr="00FF33AB">
        <w:rPr>
          <w:lang w:val="en-US"/>
        </w:rPr>
        <w:t xml:space="preserve"> through imaginative substitution and moral self-</w:t>
      </w:r>
      <w:r w:rsidR="00932A54" w:rsidRPr="00FF33AB">
        <w:rPr>
          <w:lang w:val="en-US"/>
        </w:rPr>
        <w:t>reapproach</w:t>
      </w:r>
      <w:r w:rsidRPr="00FF33AB">
        <w:rPr>
          <w:lang w:val="en-US"/>
        </w:rPr>
        <w:t xml:space="preserve">, whereas Ginzburg dissects hunger as structural transformation of human condition. </w:t>
      </w:r>
      <w:r w:rsidR="00932A54">
        <w:rPr>
          <w:lang w:val="en-US"/>
        </w:rPr>
        <w:t xml:space="preserve">Olga Berggolts, by contrast, processes this “hunger psychosis” through lens of sacrifice that she need to do as her duty. </w:t>
      </w:r>
      <w:r w:rsidRPr="00FF33AB">
        <w:rPr>
          <w:lang w:val="en-US"/>
        </w:rPr>
        <w:t>Together their writings reveal that starvation is not episodic suf</w:t>
      </w:r>
      <w:r w:rsidR="00634F83" w:rsidRPr="00FF33AB">
        <w:rPr>
          <w:lang w:val="en-US"/>
        </w:rPr>
        <w:t xml:space="preserve">fering anymore but fundamental change in how existence is experienced. </w:t>
      </w:r>
    </w:p>
    <w:p w14:paraId="2A741F48" w14:textId="52B4F222" w:rsidR="00234CA8" w:rsidRPr="00FF33AB" w:rsidRDefault="00634F83" w:rsidP="00DD74CA">
      <w:pPr>
        <w:spacing w:after="0" w:line="480" w:lineRule="auto"/>
        <w:ind w:firstLine="720"/>
        <w:rPr>
          <w:lang w:val="en-US"/>
        </w:rPr>
      </w:pPr>
      <w:r w:rsidRPr="00FF33AB">
        <w:rPr>
          <w:lang w:val="en-US"/>
        </w:rPr>
        <w:lastRenderedPageBreak/>
        <w:t>In Lena Mukhina’s diary hunger gradually colonize her mind and pages in her diary. Early entries have traces of adolescent concerns such as friendship and school, but as rations shrink and she became physically weak food bec</w:t>
      </w:r>
      <w:r w:rsidR="009E2DCD">
        <w:rPr>
          <w:lang w:val="en-US"/>
        </w:rPr>
        <w:t>ame</w:t>
      </w:r>
      <w:r w:rsidRPr="00FF33AB">
        <w:rPr>
          <w:lang w:val="en-US"/>
        </w:rPr>
        <w:t xml:space="preserve"> the sole organizing principle thought. In Lena’s diary entry from late November 1941, she reflects on how her consciousness has narrowed due to starvation:  "God, how shallow I have become. I think and write only about food, yet besides food, a mass of different things exists"</w:t>
      </w:r>
      <w:r w:rsidRPr="009E2DCD">
        <w:rPr>
          <w:lang w:val="en-US"/>
        </w:rPr>
        <w:t>.</w:t>
      </w:r>
      <w:r w:rsidR="00B741D8" w:rsidRPr="00FF33AB">
        <w:rPr>
          <w:rStyle w:val="ae"/>
          <w:lang w:val="en-US"/>
        </w:rPr>
        <w:footnoteReference w:id="37"/>
      </w:r>
      <w:r w:rsidR="00B741D8" w:rsidRPr="009E2DCD">
        <w:rPr>
          <w:lang w:val="en-US"/>
        </w:rPr>
        <w:t xml:space="preserve"> </w:t>
      </w:r>
      <w:r w:rsidR="00B741D8" w:rsidRPr="00FF33AB">
        <w:rPr>
          <w:lang w:val="en-US"/>
        </w:rPr>
        <w:t>The narrowing of thematic focus is not accidental, it reflect what Lidiya Ginzburg would later conceptualize as a "lower organism" or an "amoeba with tentacles". In this state, human being no longer functions through "self-equal soul" but as a system reacting to "the simplest irritations of pleasure and displeasure”.</w:t>
      </w:r>
      <w:r w:rsidR="00B741D8" w:rsidRPr="00FF33AB">
        <w:rPr>
          <w:rStyle w:val="ae"/>
          <w:lang w:val="en-US"/>
        </w:rPr>
        <w:footnoteReference w:id="38"/>
      </w:r>
      <w:r w:rsidR="00B741D8" w:rsidRPr="00FF33AB">
        <w:rPr>
          <w:lang w:val="en-US"/>
        </w:rPr>
        <w:t xml:space="preserve"> The narrowing of the thematic focus which is evident in Lena Mukhina's diary, which has shifted from a teenage romance to “gram diary” reflects this reduction of the mind to the “animalistic relief” of a standardized existence. Ho</w:t>
      </w:r>
      <w:r w:rsidR="008F4810" w:rsidRPr="00FF33AB">
        <w:rPr>
          <w:lang w:val="en-US"/>
        </w:rPr>
        <w:t xml:space="preserve">wever, </w:t>
      </w:r>
      <w:r w:rsidR="00B741D8" w:rsidRPr="00FF33AB">
        <w:rPr>
          <w:lang w:val="en-US"/>
        </w:rPr>
        <w:t xml:space="preserve">in Lena’s diary </w:t>
      </w:r>
      <w:r w:rsidR="008F4810" w:rsidRPr="00FF33AB">
        <w:rPr>
          <w:lang w:val="en-US"/>
        </w:rPr>
        <w:t xml:space="preserve">this reduction is experienced emotionally rather than analytically. </w:t>
      </w:r>
      <w:r w:rsidR="00B741D8" w:rsidRPr="00FF33AB">
        <w:rPr>
          <w:lang w:val="en-US"/>
        </w:rPr>
        <w:t xml:space="preserve">Her diary turns into something that can be described as survival journal, where every gram of bread is recorded with </w:t>
      </w:r>
      <w:r w:rsidR="00234CA8" w:rsidRPr="00FF33AB">
        <w:rPr>
          <w:lang w:val="en-US"/>
        </w:rPr>
        <w:t>gratitude</w:t>
      </w:r>
      <w:r w:rsidR="00B741D8" w:rsidRPr="00FF33AB">
        <w:rPr>
          <w:lang w:val="en-US"/>
        </w:rPr>
        <w:t xml:space="preserve"> and anxiety.</w:t>
      </w:r>
    </w:p>
    <w:p w14:paraId="32B2F6E2" w14:textId="1E4DCAC4" w:rsidR="008F4810" w:rsidRPr="00FF33AB" w:rsidRDefault="00234CA8" w:rsidP="00DD74CA">
      <w:pPr>
        <w:spacing w:after="0" w:line="480" w:lineRule="auto"/>
        <w:ind w:firstLine="720"/>
        <w:rPr>
          <w:lang w:val="en-US"/>
        </w:rPr>
      </w:pPr>
      <w:r w:rsidRPr="00FF33AB">
        <w:rPr>
          <w:lang w:val="en-US"/>
        </w:rPr>
        <w:t>Instead of talking directly about hunger in harsh terms, Lena often resorts to what Alexis Perry calls substitution</w:t>
      </w:r>
      <w:r w:rsidR="008F4810" w:rsidRPr="00FF33AB">
        <w:rPr>
          <w:lang w:val="en-US"/>
        </w:rPr>
        <w:t xml:space="preserve"> (замещение).</w:t>
      </w:r>
      <w:r w:rsidRPr="00FF33AB">
        <w:rPr>
          <w:rStyle w:val="ae"/>
          <w:lang w:val="en-US"/>
        </w:rPr>
        <w:footnoteReference w:id="39"/>
      </w:r>
      <w:r w:rsidR="008F4810" w:rsidRPr="00FF33AB">
        <w:rPr>
          <w:lang w:val="en-US"/>
        </w:rPr>
        <w:t xml:space="preserve"> On November 16, 1941, she </w:t>
      </w:r>
      <w:r w:rsidRPr="00FF33AB">
        <w:rPr>
          <w:lang w:val="en-US"/>
        </w:rPr>
        <w:t>wrote</w:t>
      </w:r>
      <w:r w:rsidR="008F4810" w:rsidRPr="00FF33AB">
        <w:rPr>
          <w:lang w:val="en-US"/>
        </w:rPr>
        <w:t xml:space="preserve"> elaborate</w:t>
      </w:r>
      <w:r w:rsidR="008F4810" w:rsidRPr="008F4810">
        <w:rPr>
          <w:lang w:val="en-US"/>
        </w:rPr>
        <w:t xml:space="preserve"> </w:t>
      </w:r>
      <w:r w:rsidR="008F4810" w:rsidRPr="00FF33AB">
        <w:rPr>
          <w:lang w:val="en-US"/>
        </w:rPr>
        <w:t xml:space="preserve">fantasies of postwar </w:t>
      </w:r>
      <w:r w:rsidRPr="00FF33AB">
        <w:rPr>
          <w:lang w:val="en-US"/>
        </w:rPr>
        <w:t>prosperity, where she will have</w:t>
      </w:r>
      <w:r w:rsidR="008F4810" w:rsidRPr="00FF33AB">
        <w:rPr>
          <w:lang w:val="en-US"/>
        </w:rPr>
        <w:t xml:space="preserve"> kilograms of black bread and gingerbread “drenched in oil” sizzling fried potatoes, and white bread layered with butter so thick that her “teeth would sink into it.”</w:t>
      </w:r>
      <w:r w:rsidRPr="00FF33AB">
        <w:rPr>
          <w:rStyle w:val="ae"/>
          <w:lang w:val="en-US"/>
        </w:rPr>
        <w:footnoteReference w:id="40"/>
      </w:r>
      <w:r w:rsidR="008F4810" w:rsidRPr="00FF33AB">
        <w:rPr>
          <w:lang w:val="en-US"/>
        </w:rPr>
        <w:t xml:space="preserve"> The sensory intensity of these descriptions</w:t>
      </w:r>
      <w:r w:rsidRPr="00FF33AB">
        <w:rPr>
          <w:lang w:val="en-US"/>
        </w:rPr>
        <w:t>, like</w:t>
      </w:r>
      <w:r w:rsidR="008F4810" w:rsidRPr="00FF33AB">
        <w:rPr>
          <w:lang w:val="en-US"/>
        </w:rPr>
        <w:t xml:space="preserve"> viscosity of oil</w:t>
      </w:r>
      <w:r w:rsidRPr="00FF33AB">
        <w:rPr>
          <w:lang w:val="en-US"/>
        </w:rPr>
        <w:t xml:space="preserve"> and </w:t>
      </w:r>
      <w:r w:rsidR="008F4810" w:rsidRPr="00FF33AB">
        <w:rPr>
          <w:lang w:val="en-US"/>
        </w:rPr>
        <w:t xml:space="preserve">texture of crust, exceeds </w:t>
      </w:r>
      <w:r w:rsidRPr="00FF33AB">
        <w:rPr>
          <w:lang w:val="en-US"/>
        </w:rPr>
        <w:t>just simple</w:t>
      </w:r>
      <w:r w:rsidR="008F4810" w:rsidRPr="00FF33AB">
        <w:rPr>
          <w:lang w:val="en-US"/>
        </w:rPr>
        <w:t xml:space="preserve"> culinary pleasure</w:t>
      </w:r>
      <w:r w:rsidRPr="00FF33AB">
        <w:rPr>
          <w:lang w:val="en-US"/>
        </w:rPr>
        <w:t xml:space="preserve"> of an ordinary person</w:t>
      </w:r>
      <w:r w:rsidR="008F4810" w:rsidRPr="00FF33AB">
        <w:rPr>
          <w:lang w:val="en-US"/>
        </w:rPr>
        <w:t>. These are not realistic future meals but exaggerated counter-realities.</w:t>
      </w:r>
      <w:r w:rsidRPr="00FF33AB">
        <w:rPr>
          <w:lang w:val="en-US"/>
        </w:rPr>
        <w:t xml:space="preserve"> By saturating </w:t>
      </w:r>
      <w:r w:rsidRPr="00FF33AB">
        <w:rPr>
          <w:lang w:val="en-US"/>
        </w:rPr>
        <w:lastRenderedPageBreak/>
        <w:t>her text with imagined meals, she was trying to numb her current hunger. Fantasy acts as psychological painkiller.</w:t>
      </w:r>
    </w:p>
    <w:p w14:paraId="61E7B68F" w14:textId="3040BA08" w:rsidR="008F4810" w:rsidRPr="00FF33AB" w:rsidRDefault="00234CA8" w:rsidP="00DD74CA">
      <w:pPr>
        <w:spacing w:after="0" w:line="480" w:lineRule="auto"/>
        <w:ind w:firstLine="720"/>
        <w:rPr>
          <w:lang w:val="en-US"/>
        </w:rPr>
      </w:pPr>
      <w:r w:rsidRPr="00FF33AB">
        <w:rPr>
          <w:lang w:val="en-US"/>
        </w:rPr>
        <w:t>Yet these fantasies are two-sided, since they bring temporary relief, but they also widen this gap between imagination and physical experience. Hunger remains unsatisfied and imagined feast only highlights current emptiness. Peri argues that such imagined  meals was not an escape from reality, but conscious attempt to preserve inner life in the face of physical collapse.</w:t>
      </w:r>
      <w:r w:rsidRPr="00FF33AB">
        <w:rPr>
          <w:rStyle w:val="ae"/>
          <w:lang w:val="en-US"/>
        </w:rPr>
        <w:footnoteReference w:id="41"/>
      </w:r>
      <w:r w:rsidRPr="00FF33AB">
        <w:rPr>
          <w:lang w:val="en-US"/>
        </w:rPr>
        <w:t xml:space="preserve"> In Lena's case, her diary becomes the only space where </w:t>
      </w:r>
      <w:r w:rsidR="00DD74CA" w:rsidRPr="00FF33AB">
        <w:rPr>
          <w:lang w:val="en-US"/>
        </w:rPr>
        <w:t>these rich meals</w:t>
      </w:r>
      <w:r w:rsidRPr="00FF33AB">
        <w:rPr>
          <w:lang w:val="en-US"/>
        </w:rPr>
        <w:t xml:space="preserve"> can exist. If the body cannot be fed, then the imagination must be.</w:t>
      </w:r>
      <w:r w:rsidR="00DD74CA" w:rsidRPr="00FF33AB">
        <w:rPr>
          <w:lang w:val="en-US"/>
        </w:rPr>
        <w:t xml:space="preserve"> </w:t>
      </w:r>
    </w:p>
    <w:p w14:paraId="772463F3" w14:textId="449B5008" w:rsidR="00DD74CA" w:rsidRPr="00241893" w:rsidRDefault="00DD74CA" w:rsidP="00DD74CA">
      <w:pPr>
        <w:spacing w:after="0" w:line="480" w:lineRule="auto"/>
        <w:ind w:firstLine="720"/>
        <w:rPr>
          <w:lang w:val="ru-RU"/>
        </w:rPr>
      </w:pPr>
      <w:r w:rsidRPr="00FF33AB">
        <w:rPr>
          <w:lang w:val="en-US"/>
        </w:rPr>
        <w:t>Alongside her fantasies, entries about survival appear more and more frequently in her diary. Lena carefully documents reduction of rations to 125 grams, which is “thin slice” that is insufficient even to maintain basic metabolic needs.</w:t>
      </w:r>
      <w:r w:rsidRPr="00FF33AB">
        <w:rPr>
          <w:rStyle w:val="ae"/>
          <w:lang w:val="en-US"/>
        </w:rPr>
        <w:footnoteReference w:id="42"/>
      </w:r>
      <w:r w:rsidRPr="00FF33AB">
        <w:rPr>
          <w:lang w:val="en-US"/>
        </w:rPr>
        <w:t>She calculates how to divide candies into several days, planning ahead micro-portions with bureaucratic precision.  The future is no longer measured in weeks or months, but in pieces and grams. Survival</w:t>
      </w:r>
      <w:r w:rsidRPr="00241893">
        <w:rPr>
          <w:lang w:val="ru-RU"/>
        </w:rPr>
        <w:t xml:space="preserve"> </w:t>
      </w:r>
      <w:r w:rsidRPr="00FF33AB">
        <w:rPr>
          <w:lang w:val="en-US"/>
        </w:rPr>
        <w:t>becomes</w:t>
      </w:r>
      <w:r w:rsidRPr="00241893">
        <w:rPr>
          <w:lang w:val="ru-RU"/>
        </w:rPr>
        <w:t xml:space="preserve"> </w:t>
      </w:r>
      <w:r w:rsidRPr="00FF33AB">
        <w:rPr>
          <w:lang w:val="en-US"/>
        </w:rPr>
        <w:t>a</w:t>
      </w:r>
      <w:r w:rsidRPr="00241893">
        <w:rPr>
          <w:lang w:val="ru-RU"/>
        </w:rPr>
        <w:t xml:space="preserve"> </w:t>
      </w:r>
      <w:r w:rsidRPr="00FF33AB">
        <w:rPr>
          <w:lang w:val="en-US"/>
        </w:rPr>
        <w:t>matter</w:t>
      </w:r>
      <w:r w:rsidRPr="00241893">
        <w:rPr>
          <w:lang w:val="ru-RU"/>
        </w:rPr>
        <w:t xml:space="preserve"> </w:t>
      </w:r>
      <w:r w:rsidRPr="00FF33AB">
        <w:rPr>
          <w:lang w:val="en-US"/>
        </w:rPr>
        <w:t>of</w:t>
      </w:r>
      <w:r w:rsidRPr="00241893">
        <w:rPr>
          <w:lang w:val="ru-RU"/>
        </w:rPr>
        <w:t xml:space="preserve"> </w:t>
      </w:r>
      <w:r w:rsidRPr="00FF33AB">
        <w:rPr>
          <w:lang w:val="en-US"/>
        </w:rPr>
        <w:t>calculation</w:t>
      </w:r>
      <w:r w:rsidRPr="00241893">
        <w:rPr>
          <w:lang w:val="ru-RU"/>
        </w:rPr>
        <w:t>:</w:t>
      </w:r>
    </w:p>
    <w:p w14:paraId="79DF787B" w14:textId="78EA2303" w:rsidR="00DD74CA" w:rsidRPr="00DD74CA" w:rsidRDefault="00DD74CA" w:rsidP="00DD74CA">
      <w:pPr>
        <w:pStyle w:val="a7"/>
        <w:spacing w:after="0" w:line="480" w:lineRule="auto"/>
        <w:ind w:left="1418"/>
        <w:rPr>
          <w:lang w:val="ru-RU"/>
        </w:rPr>
      </w:pPr>
      <w:r w:rsidRPr="00DD74CA">
        <w:rPr>
          <w:lang w:val="ru-RU"/>
        </w:rPr>
        <w:t>“</w:t>
      </w:r>
      <w:r w:rsidRPr="00DD74CA">
        <w:rPr>
          <w:i/>
          <w:iCs/>
          <w:lang w:val="ru-RU"/>
        </w:rPr>
        <w:t>Конфеты эти мне надо растянуть на 10 дней. Сперва я рассчитала по 3 конфеты в день, но уже съела 9 штук, так что решила съесть сегодня ради моего праздника еще 4 конфеты, а с завтрашнего дня строго соблюдать порядок и есть по 2 конфеты в день</w:t>
      </w:r>
      <w:r w:rsidRPr="00DD74CA">
        <w:rPr>
          <w:lang w:val="ru-RU"/>
        </w:rPr>
        <w:t>.”</w:t>
      </w:r>
      <w:r>
        <w:rPr>
          <w:rStyle w:val="ae"/>
          <w:lang w:val="ru-RU"/>
        </w:rPr>
        <w:footnoteReference w:id="43"/>
      </w:r>
    </w:p>
    <w:p w14:paraId="7475567B" w14:textId="3912E110" w:rsidR="00DD74CA" w:rsidRDefault="00DD74CA" w:rsidP="00DD74CA">
      <w:pPr>
        <w:spacing w:after="0" w:line="480" w:lineRule="auto"/>
        <w:rPr>
          <w:lang w:val="en-US"/>
        </w:rPr>
      </w:pPr>
      <w:r>
        <w:tab/>
      </w:r>
      <w:r w:rsidRPr="00DD74CA">
        <w:rPr>
          <w:lang w:val="en-US"/>
        </w:rPr>
        <w:t>Another recurring theme is failure of willpower. Lena repeatedly admits that she eats her entire ration at once, and sometimes even eats the portion for the next day.</w:t>
      </w:r>
      <w:r w:rsidR="00C20ED1">
        <w:rPr>
          <w:rStyle w:val="ae"/>
          <w:lang w:val="en-US"/>
        </w:rPr>
        <w:footnoteReference w:id="44"/>
      </w:r>
      <w:r w:rsidRPr="00DD74CA">
        <w:rPr>
          <w:lang w:val="en-US"/>
        </w:rPr>
        <w:t>These moments are followed by intense self-condemnation. She calls herself</w:t>
      </w:r>
      <w:r w:rsidR="00C20ED1">
        <w:rPr>
          <w:lang w:val="en-US"/>
        </w:rPr>
        <w:t xml:space="preserve"> </w:t>
      </w:r>
      <w:r w:rsidRPr="00DD74CA">
        <w:rPr>
          <w:lang w:val="en-US"/>
        </w:rPr>
        <w:t>“pig” and</w:t>
      </w:r>
      <w:r w:rsidR="00C20ED1">
        <w:rPr>
          <w:lang w:val="en-US"/>
        </w:rPr>
        <w:t xml:space="preserve"> </w:t>
      </w:r>
      <w:r w:rsidRPr="00DD74CA">
        <w:rPr>
          <w:lang w:val="en-US"/>
        </w:rPr>
        <w:t xml:space="preserve">“beast” </w:t>
      </w:r>
      <w:r w:rsidR="00C20ED1">
        <w:rPr>
          <w:lang w:val="en-US"/>
        </w:rPr>
        <w:t xml:space="preserve">who is </w:t>
      </w:r>
      <w:r w:rsidRPr="00DD74CA">
        <w:rPr>
          <w:lang w:val="en-US"/>
        </w:rPr>
        <w:t>incapable of leaving even “five miserable candies” untouched.</w:t>
      </w:r>
      <w:r w:rsidR="00C20ED1">
        <w:rPr>
          <w:rStyle w:val="ae"/>
          <w:lang w:val="en-US"/>
        </w:rPr>
        <w:footnoteReference w:id="45"/>
      </w:r>
      <w:r w:rsidRPr="00DD74CA">
        <w:rPr>
          <w:lang w:val="en-US"/>
        </w:rPr>
        <w:t xml:space="preserve"> </w:t>
      </w:r>
      <w:r w:rsidR="00C20ED1">
        <w:rPr>
          <w:lang w:val="en-US"/>
        </w:rPr>
        <w:t>So h</w:t>
      </w:r>
      <w:r w:rsidRPr="00DD74CA">
        <w:rPr>
          <w:lang w:val="en-US"/>
        </w:rPr>
        <w:t xml:space="preserve">unger here becomes </w:t>
      </w:r>
      <w:r w:rsidRPr="00DD74CA">
        <w:rPr>
          <w:lang w:val="en-US"/>
        </w:rPr>
        <w:lastRenderedPageBreak/>
        <w:t>moral issue</w:t>
      </w:r>
      <w:r w:rsidR="00C20ED1">
        <w:rPr>
          <w:lang w:val="en-US"/>
        </w:rPr>
        <w:t>,</w:t>
      </w:r>
      <w:r w:rsidRPr="00DD74CA">
        <w:rPr>
          <w:lang w:val="en-US"/>
        </w:rPr>
        <w:t xml:space="preserve"> </w:t>
      </w:r>
      <w:r w:rsidR="00C20ED1">
        <w:rPr>
          <w:lang w:val="en-US"/>
        </w:rPr>
        <w:t xml:space="preserve">she interprets </w:t>
      </w:r>
      <w:r w:rsidRPr="00DD74CA">
        <w:rPr>
          <w:lang w:val="en-US"/>
        </w:rPr>
        <w:t>appetite</w:t>
      </w:r>
      <w:r w:rsidR="00C20ED1">
        <w:rPr>
          <w:lang w:val="en-US"/>
        </w:rPr>
        <w:t xml:space="preserve"> </w:t>
      </w:r>
      <w:r w:rsidRPr="00DD74CA">
        <w:rPr>
          <w:lang w:val="en-US"/>
        </w:rPr>
        <w:t>as an ethical failure. The body's need for immediate nourishment</w:t>
      </w:r>
      <w:r w:rsidR="00C20ED1">
        <w:rPr>
          <w:lang w:val="en-US"/>
        </w:rPr>
        <w:t xml:space="preserve"> in her mind</w:t>
      </w:r>
      <w:r w:rsidRPr="00DD74CA">
        <w:rPr>
          <w:lang w:val="en-US"/>
        </w:rPr>
        <w:t xml:space="preserve"> conflicts with</w:t>
      </w:r>
      <w:r w:rsidR="00C20ED1">
        <w:rPr>
          <w:lang w:val="en-US"/>
        </w:rPr>
        <w:t xml:space="preserve"> her</w:t>
      </w:r>
      <w:r w:rsidRPr="00DD74CA">
        <w:rPr>
          <w:lang w:val="en-US"/>
        </w:rPr>
        <w:t xml:space="preserve"> internal ideals of discipline and self-control. </w:t>
      </w:r>
      <w:r w:rsidR="00C20ED1" w:rsidRPr="00C20ED1">
        <w:rPr>
          <w:lang w:val="en-US"/>
        </w:rPr>
        <w:t>From trauma theory perspective, this fluctuation between pleasin</w:t>
      </w:r>
      <w:r w:rsidR="00C20ED1">
        <w:rPr>
          <w:lang w:val="en-US"/>
        </w:rPr>
        <w:t>g by eating</w:t>
      </w:r>
      <w:r w:rsidR="00C20ED1" w:rsidRPr="00C20ED1">
        <w:rPr>
          <w:lang w:val="en-US"/>
        </w:rPr>
        <w:t xml:space="preserve"> </w:t>
      </w:r>
      <w:r w:rsidR="00C20ED1">
        <w:rPr>
          <w:lang w:val="en-US"/>
        </w:rPr>
        <w:t xml:space="preserve">daily portion </w:t>
      </w:r>
      <w:r w:rsidR="00C20ED1" w:rsidRPr="00C20ED1">
        <w:rPr>
          <w:lang w:val="en-US"/>
        </w:rPr>
        <w:t xml:space="preserve">and feeling ashamed </w:t>
      </w:r>
      <w:r w:rsidR="00C20ED1">
        <w:rPr>
          <w:lang w:val="en-US"/>
        </w:rPr>
        <w:t xml:space="preserve">after that </w:t>
      </w:r>
      <w:r w:rsidR="00C20ED1" w:rsidRPr="00C20ED1">
        <w:rPr>
          <w:lang w:val="en-US"/>
        </w:rPr>
        <w:t>shows how self-regulation breaks down under extreme stress.</w:t>
      </w:r>
      <w:r w:rsidR="00C20ED1">
        <w:rPr>
          <w:rStyle w:val="ae"/>
          <w:lang w:val="en-US"/>
        </w:rPr>
        <w:footnoteReference w:id="46"/>
      </w:r>
      <w:r w:rsidR="00C20ED1">
        <w:rPr>
          <w:lang w:val="en-US"/>
        </w:rPr>
        <w:t xml:space="preserve"> </w:t>
      </w:r>
      <w:r w:rsidR="00C20ED1" w:rsidRPr="00C20ED1">
        <w:rPr>
          <w:lang w:val="en-US"/>
        </w:rPr>
        <w:t>Lena does</w:t>
      </w:r>
      <w:r w:rsidR="00C20ED1">
        <w:rPr>
          <w:lang w:val="en-US"/>
        </w:rPr>
        <w:t xml:space="preserve"> not </w:t>
      </w:r>
      <w:r w:rsidR="00C20ED1" w:rsidRPr="00C20ED1">
        <w:rPr>
          <w:lang w:val="en-US"/>
        </w:rPr>
        <w:t xml:space="preserve"> just feel hungry</w:t>
      </w:r>
      <w:r w:rsidR="00C20ED1">
        <w:rPr>
          <w:lang w:val="en-US"/>
        </w:rPr>
        <w:t xml:space="preserve">, </w:t>
      </w:r>
      <w:r w:rsidR="00C20ED1" w:rsidRPr="00C20ED1">
        <w:rPr>
          <w:lang w:val="en-US"/>
        </w:rPr>
        <w:t>she condemns herself for feeling hungry.</w:t>
      </w:r>
    </w:p>
    <w:p w14:paraId="11536F75" w14:textId="769DD058" w:rsidR="008F4810" w:rsidRPr="00DD74CA" w:rsidRDefault="00BD040B" w:rsidP="008F4810">
      <w:pPr>
        <w:spacing w:after="0" w:line="480" w:lineRule="auto"/>
        <w:rPr>
          <w:lang w:val="en-US"/>
        </w:rPr>
      </w:pPr>
      <w:r>
        <w:rPr>
          <w:lang w:val="en-US"/>
        </w:rPr>
        <w:tab/>
      </w:r>
      <w:r w:rsidRPr="00BD040B">
        <w:rPr>
          <w:lang w:val="en-US"/>
        </w:rPr>
        <w:t xml:space="preserve">If Mukhina’s diary captures hunger as emotional turmoil, Ginzburg reframes it as structural transformation. In </w:t>
      </w:r>
      <w:r w:rsidRPr="00BD040B">
        <w:rPr>
          <w:i/>
          <w:iCs/>
          <w:lang w:val="en-US"/>
        </w:rPr>
        <w:t>The Blockade Person</w:t>
      </w:r>
      <w:r w:rsidRPr="00BD040B">
        <w:rPr>
          <w:lang w:val="en-US"/>
        </w:rPr>
        <w:t xml:space="preserve"> she identifies what may be termed “bread psychosis,” in which the ration acquires taboo-like status.</w:t>
      </w:r>
      <w:r>
        <w:rPr>
          <w:rStyle w:val="ae"/>
          <w:lang w:val="en-US"/>
        </w:rPr>
        <w:footnoteReference w:id="47"/>
      </w:r>
      <w:r w:rsidRPr="00BD040B">
        <w:rPr>
          <w:lang w:val="en-US"/>
        </w:rPr>
        <w:t xml:space="preserve"> Bread becomes both fetish and tormentor</w:t>
      </w:r>
      <w:r>
        <w:rPr>
          <w:lang w:val="en-US"/>
        </w:rPr>
        <w:t xml:space="preserve"> and</w:t>
      </w:r>
      <w:r w:rsidRPr="00BD040B">
        <w:rPr>
          <w:lang w:val="en-US"/>
        </w:rPr>
        <w:t xml:space="preserve"> ritual of weighing bread is described with </w:t>
      </w:r>
      <w:r>
        <w:rPr>
          <w:lang w:val="en-US"/>
        </w:rPr>
        <w:t>serious</w:t>
      </w:r>
      <w:r w:rsidRPr="00BD040B">
        <w:rPr>
          <w:lang w:val="en-US"/>
        </w:rPr>
        <w:t xml:space="preserve"> precision</w:t>
      </w:r>
      <w:r>
        <w:rPr>
          <w:lang w:val="en-US"/>
        </w:rPr>
        <w:t>. t</w:t>
      </w:r>
      <w:r w:rsidRPr="00BD040B">
        <w:rPr>
          <w:lang w:val="en-US"/>
        </w:rPr>
        <w:t>he starving person watches the scale and the “</w:t>
      </w:r>
      <w:proofErr w:type="spellStart"/>
      <w:r w:rsidRPr="00BD040B">
        <w:rPr>
          <w:lang w:val="en-US"/>
        </w:rPr>
        <w:t>dovesok</w:t>
      </w:r>
      <w:proofErr w:type="spellEnd"/>
      <w:r w:rsidRPr="00BD040B">
        <w:rPr>
          <w:lang w:val="en-US"/>
        </w:rPr>
        <w:t>” (extra gram) with museum</w:t>
      </w:r>
      <w:r>
        <w:rPr>
          <w:lang w:val="en-US"/>
        </w:rPr>
        <w:t xml:space="preserve"> </w:t>
      </w:r>
      <w:r w:rsidRPr="00BD040B">
        <w:rPr>
          <w:lang w:val="en-US"/>
        </w:rPr>
        <w:t>like concentration.</w:t>
      </w:r>
      <w:r>
        <w:rPr>
          <w:rStyle w:val="ae"/>
          <w:lang w:val="en-US"/>
        </w:rPr>
        <w:footnoteReference w:id="48"/>
      </w:r>
      <w:r w:rsidRPr="00BD040B">
        <w:rPr>
          <w:lang w:val="en-US"/>
        </w:rPr>
        <w:t xml:space="preserve"> The scale becomes altar</w:t>
      </w:r>
      <w:r>
        <w:rPr>
          <w:lang w:val="en-US"/>
        </w:rPr>
        <w:t>, where</w:t>
      </w:r>
      <w:r w:rsidRPr="00BD040B">
        <w:rPr>
          <w:lang w:val="en-US"/>
        </w:rPr>
        <w:t xml:space="preserve"> gram becomes revelation. Hunger produces ritualized attentiveness that borders on the sacred.</w:t>
      </w:r>
      <w:r>
        <w:rPr>
          <w:lang w:val="en-US"/>
        </w:rPr>
        <w:t xml:space="preserve"> </w:t>
      </w:r>
    </w:p>
    <w:p w14:paraId="580ADBE7" w14:textId="4715F33B" w:rsidR="008F4810" w:rsidRPr="008F4810" w:rsidRDefault="008F4810" w:rsidP="006A6854">
      <w:pPr>
        <w:spacing w:after="0" w:line="480" w:lineRule="auto"/>
        <w:ind w:firstLine="720"/>
        <w:rPr>
          <w:lang w:val="en-US"/>
        </w:rPr>
      </w:pPr>
      <w:r w:rsidRPr="008F4810">
        <w:rPr>
          <w:lang w:val="en-US"/>
        </w:rPr>
        <w:t>Ginzburg’s fictionalized alter ego, Otter (or En) embodies what she calls “</w:t>
      </w:r>
      <w:r w:rsidRPr="006A6854">
        <w:rPr>
          <w:lang w:val="ru-RU"/>
        </w:rPr>
        <w:t>головокружительное</w:t>
      </w:r>
      <w:r w:rsidRPr="006A6854">
        <w:rPr>
          <w:lang w:val="en-US"/>
        </w:rPr>
        <w:t xml:space="preserve"> </w:t>
      </w:r>
      <w:r w:rsidRPr="006A6854">
        <w:rPr>
          <w:lang w:val="ru-RU"/>
        </w:rPr>
        <w:t>скольжение</w:t>
      </w:r>
      <w:r w:rsidR="006A6854">
        <w:rPr>
          <w:lang w:val="en-US"/>
        </w:rPr>
        <w:t>”</w:t>
      </w:r>
      <w:r w:rsidRPr="008F4810">
        <w:rPr>
          <w:lang w:val="en-US"/>
        </w:rPr>
        <w:t xml:space="preserve"> of willpower.</w:t>
      </w:r>
      <w:r w:rsidR="00BD040B">
        <w:rPr>
          <w:rStyle w:val="ae"/>
          <w:lang w:val="en-US"/>
        </w:rPr>
        <w:footnoteReference w:id="49"/>
      </w:r>
      <w:r w:rsidRPr="008F4810">
        <w:rPr>
          <w:lang w:val="en-US"/>
        </w:rPr>
        <w:t xml:space="preserve"> The unbearable presence of the ration</w:t>
      </w:r>
      <w:r w:rsidR="006A6854">
        <w:rPr>
          <w:lang w:val="en-US"/>
        </w:rPr>
        <w:t xml:space="preserve"> and k</w:t>
      </w:r>
      <w:r w:rsidRPr="008F4810">
        <w:rPr>
          <w:lang w:val="en-US"/>
        </w:rPr>
        <w:t>nowing it is available yet insufficient</w:t>
      </w:r>
      <w:r w:rsidR="006A6854">
        <w:rPr>
          <w:lang w:val="en-US"/>
        </w:rPr>
        <w:t xml:space="preserve">, </w:t>
      </w:r>
      <w:r w:rsidRPr="008F4810">
        <w:rPr>
          <w:lang w:val="en-US"/>
        </w:rPr>
        <w:t>creates psychological torture. The solution is paradoxical</w:t>
      </w:r>
      <w:r w:rsidR="006A6854">
        <w:rPr>
          <w:lang w:val="en-US"/>
        </w:rPr>
        <w:t xml:space="preserve">, it is </w:t>
      </w:r>
      <w:r w:rsidRPr="008F4810">
        <w:rPr>
          <w:lang w:val="en-US"/>
        </w:rPr>
        <w:t>to eat the entire ration immediately, not out of gluttony but to eliminate the tormenting awareness of its existence.</w:t>
      </w:r>
      <w:r w:rsidR="006A6854">
        <w:rPr>
          <w:rStyle w:val="ae"/>
          <w:lang w:val="en-US"/>
        </w:rPr>
        <w:footnoteReference w:id="50"/>
      </w:r>
      <w:r w:rsidRPr="008F4810">
        <w:rPr>
          <w:lang w:val="en-US"/>
        </w:rPr>
        <w:t xml:space="preserve"> In this analysis, the act of consuming all at once is not moral weakness</w:t>
      </w:r>
      <w:r w:rsidR="006A6854">
        <w:rPr>
          <w:lang w:val="en-US"/>
        </w:rPr>
        <w:t>, it is more of</w:t>
      </w:r>
      <w:r w:rsidRPr="008F4810">
        <w:rPr>
          <w:lang w:val="en-US"/>
        </w:rPr>
        <w:t xml:space="preserve"> an attempt to escape obsessive anticipation. Hunger reorganizes not only appetite but cognition.</w:t>
      </w:r>
    </w:p>
    <w:p w14:paraId="72B396B2" w14:textId="10043E86" w:rsidR="008F4810" w:rsidRPr="008F4810" w:rsidRDefault="008F4810" w:rsidP="006A6854">
      <w:pPr>
        <w:spacing w:after="0" w:line="480" w:lineRule="auto"/>
        <w:ind w:firstLine="720"/>
        <w:rPr>
          <w:lang w:val="en-US"/>
        </w:rPr>
      </w:pPr>
      <w:r w:rsidRPr="008F4810">
        <w:rPr>
          <w:lang w:val="en-US"/>
        </w:rPr>
        <w:t xml:space="preserve">Where Lena interprets indulgence as personal failure, Ginzburg conceptualizes it as structural inevitability. She refuses sentimental framing. </w:t>
      </w:r>
      <w:r w:rsidR="006A6854">
        <w:rPr>
          <w:lang w:val="en-US"/>
        </w:rPr>
        <w:t>S</w:t>
      </w:r>
      <w:r w:rsidRPr="008F4810">
        <w:rPr>
          <w:lang w:val="en-US"/>
        </w:rPr>
        <w:t xml:space="preserve">he writes, </w:t>
      </w:r>
      <w:r w:rsidR="006A6854">
        <w:rPr>
          <w:lang w:val="en-US"/>
        </w:rPr>
        <w:t xml:space="preserve">blockade person </w:t>
      </w:r>
      <w:r w:rsidRPr="008F4810">
        <w:rPr>
          <w:lang w:val="en-US"/>
        </w:rPr>
        <w:t xml:space="preserve">exists in </w:t>
      </w:r>
      <w:r w:rsidRPr="008F4810">
        <w:rPr>
          <w:lang w:val="en-US"/>
        </w:rPr>
        <w:lastRenderedPageBreak/>
        <w:t>a state of radical simplification</w:t>
      </w:r>
      <w:r w:rsidR="006A6854">
        <w:rPr>
          <w:lang w:val="en-US"/>
        </w:rPr>
        <w:t xml:space="preserve">, so </w:t>
      </w:r>
      <w:r w:rsidRPr="008F4810">
        <w:rPr>
          <w:lang w:val="en-US"/>
        </w:rPr>
        <w:t>all interests collapse into the question of food.</w:t>
      </w:r>
      <w:r w:rsidR="006A6854">
        <w:rPr>
          <w:rStyle w:val="ae"/>
          <w:lang w:val="en-US"/>
        </w:rPr>
        <w:footnoteReference w:id="51"/>
      </w:r>
      <w:r w:rsidRPr="008F4810">
        <w:rPr>
          <w:lang w:val="en-US"/>
        </w:rPr>
        <w:t xml:space="preserve"> The individual </w:t>
      </w:r>
      <w:r w:rsidR="006A6854">
        <w:rPr>
          <w:lang w:val="en-US"/>
        </w:rPr>
        <w:t>during</w:t>
      </w:r>
      <w:r w:rsidRPr="008F4810">
        <w:rPr>
          <w:lang w:val="en-US"/>
        </w:rPr>
        <w:t xml:space="preserve"> autumn 1941 is not the same as </w:t>
      </w:r>
      <w:r w:rsidR="006A6854">
        <w:rPr>
          <w:lang w:val="en-US"/>
        </w:rPr>
        <w:t xml:space="preserve">the person during </w:t>
      </w:r>
      <w:r w:rsidRPr="008F4810">
        <w:rPr>
          <w:lang w:val="en-US"/>
        </w:rPr>
        <w:t xml:space="preserve">summer 1942. </w:t>
      </w:r>
      <w:r w:rsidR="006A6854" w:rsidRPr="006A6854">
        <w:rPr>
          <w:lang w:val="en-US"/>
        </w:rPr>
        <w:t>Hunger changes person over time</w:t>
      </w:r>
      <w:r w:rsidR="006A6854">
        <w:rPr>
          <w:lang w:val="en-US"/>
        </w:rPr>
        <w:t xml:space="preserve"> and s</w:t>
      </w:r>
      <w:r w:rsidR="006A6854" w:rsidRPr="006A6854">
        <w:rPr>
          <w:lang w:val="en-US"/>
        </w:rPr>
        <w:t>iege does</w:t>
      </w:r>
      <w:r w:rsidR="006A6854">
        <w:rPr>
          <w:lang w:val="en-US"/>
        </w:rPr>
        <w:t xml:space="preserve"> not</w:t>
      </w:r>
      <w:r w:rsidR="006A6854" w:rsidRPr="006A6854">
        <w:rPr>
          <w:lang w:val="en-US"/>
        </w:rPr>
        <w:t xml:space="preserve"> just </w:t>
      </w:r>
      <w:r w:rsidR="006A6854">
        <w:rPr>
          <w:lang w:val="en-US"/>
        </w:rPr>
        <w:t>deprive</w:t>
      </w:r>
      <w:r w:rsidR="006A6854" w:rsidRPr="006A6854">
        <w:rPr>
          <w:lang w:val="en-US"/>
        </w:rPr>
        <w:t>, it reshapes them.</w:t>
      </w:r>
    </w:p>
    <w:p w14:paraId="6EA91DE7" w14:textId="596F385A" w:rsidR="008F4810" w:rsidRDefault="008F4810" w:rsidP="006A6854">
      <w:pPr>
        <w:spacing w:after="0" w:line="480" w:lineRule="auto"/>
        <w:ind w:firstLine="720"/>
        <w:rPr>
          <w:lang w:val="en-US"/>
        </w:rPr>
      </w:pPr>
      <w:r w:rsidRPr="008F4810">
        <w:rPr>
          <w:lang w:val="en-US"/>
        </w:rPr>
        <w:t>This obsession with bread also destabilizes ethical relations. When Lena calculates the advantage of having fewer mouths to feed</w:t>
      </w:r>
      <w:r w:rsidR="006A6854">
        <w:rPr>
          <w:lang w:val="en-US"/>
        </w:rPr>
        <w:t xml:space="preserve"> when her aunt is sick</w:t>
      </w:r>
      <w:r w:rsidRPr="008F4810">
        <w:rPr>
          <w:lang w:val="en-US"/>
        </w:rPr>
        <w:t>, she confronts brutal logic of famine</w:t>
      </w:r>
      <w:r w:rsidR="006A6854">
        <w:rPr>
          <w:lang w:val="en-US"/>
        </w:rPr>
        <w:t>.</w:t>
      </w:r>
      <w:r w:rsidR="006A6854">
        <w:rPr>
          <w:rStyle w:val="ae"/>
          <w:lang w:val="en-US"/>
        </w:rPr>
        <w:footnoteReference w:id="52"/>
      </w:r>
      <w:r w:rsidRPr="008F4810">
        <w:rPr>
          <w:lang w:val="en-US"/>
        </w:rPr>
        <w:t xml:space="preserve"> Ginzburg, in turn, shows how irritation toward the weak or dying becomes psychologically comprehensible under starvation.</w:t>
      </w:r>
      <w:r w:rsidR="006A6854">
        <w:rPr>
          <w:rStyle w:val="ae"/>
          <w:lang w:val="en-US"/>
        </w:rPr>
        <w:footnoteReference w:id="53"/>
      </w:r>
      <w:r w:rsidRPr="008F4810">
        <w:rPr>
          <w:lang w:val="en-US"/>
        </w:rPr>
        <w:t xml:space="preserve">Hunger does not </w:t>
      </w:r>
      <w:r w:rsidR="006A6854">
        <w:rPr>
          <w:lang w:val="en-US"/>
        </w:rPr>
        <w:t>remove</w:t>
      </w:r>
      <w:r w:rsidRPr="008F4810">
        <w:rPr>
          <w:lang w:val="en-US"/>
        </w:rPr>
        <w:t xml:space="preserve"> morality, but it </w:t>
      </w:r>
      <w:r w:rsidR="002420BD">
        <w:rPr>
          <w:lang w:val="en-US"/>
        </w:rPr>
        <w:t>changes</w:t>
      </w:r>
      <w:r w:rsidRPr="008F4810">
        <w:rPr>
          <w:lang w:val="en-US"/>
        </w:rPr>
        <w:t xml:space="preserve"> its </w:t>
      </w:r>
      <w:r w:rsidR="00932A54" w:rsidRPr="008F4810">
        <w:rPr>
          <w:lang w:val="en-US"/>
        </w:rPr>
        <w:t>hierarchy</w:t>
      </w:r>
      <w:r w:rsidR="002420BD">
        <w:rPr>
          <w:lang w:val="en-US"/>
        </w:rPr>
        <w:t>, so b</w:t>
      </w:r>
      <w:r w:rsidRPr="008F4810">
        <w:rPr>
          <w:lang w:val="en-US"/>
        </w:rPr>
        <w:t>iological survival competes with compassion.</w:t>
      </w:r>
      <w:r w:rsidR="00B443B1">
        <w:rPr>
          <w:lang w:val="en-US"/>
        </w:rPr>
        <w:t xml:space="preserve"> </w:t>
      </w:r>
      <w:r w:rsidR="00B443B1" w:rsidRPr="00B443B1">
        <w:rPr>
          <w:lang w:val="en-US"/>
        </w:rPr>
        <w:t>These patterns are not unique to Leningrad. Primo Levi's concept of the "gray zone" captures similar moral fragmentation in Auschwitz, where extreme hunger forced prisoners into impossible choices, blurring the line between victim and perpetrator.</w:t>
      </w:r>
      <w:r w:rsidR="009D4809">
        <w:rPr>
          <w:rStyle w:val="ae"/>
          <w:lang w:val="en-US"/>
        </w:rPr>
        <w:footnoteReference w:id="54"/>
      </w:r>
      <w:r w:rsidR="00B443B1" w:rsidRPr="00B443B1">
        <w:rPr>
          <w:lang w:val="en-US"/>
        </w:rPr>
        <w:t xml:space="preserve"> In the Warsaw Ghetto, diarists in Emanuel Ringelblum's </w:t>
      </w:r>
      <w:proofErr w:type="spellStart"/>
      <w:r w:rsidR="00B443B1" w:rsidRPr="00B443B1">
        <w:rPr>
          <w:lang w:val="en-US"/>
        </w:rPr>
        <w:t>Oyneg</w:t>
      </w:r>
      <w:proofErr w:type="spellEnd"/>
      <w:r w:rsidR="00B443B1" w:rsidRPr="00B443B1">
        <w:rPr>
          <w:lang w:val="en-US"/>
        </w:rPr>
        <w:t xml:space="preserve"> </w:t>
      </w:r>
      <w:proofErr w:type="spellStart"/>
      <w:r w:rsidR="00B443B1" w:rsidRPr="00B443B1">
        <w:rPr>
          <w:lang w:val="en-US"/>
        </w:rPr>
        <w:t>Shabes</w:t>
      </w:r>
      <w:proofErr w:type="spellEnd"/>
      <w:r w:rsidR="00B443B1" w:rsidRPr="00B443B1">
        <w:rPr>
          <w:lang w:val="en-US"/>
        </w:rPr>
        <w:t xml:space="preserve"> archive recorded the same narrowing of consciousness around bread</w:t>
      </w:r>
      <w:r w:rsidR="009D4809">
        <w:rPr>
          <w:lang w:val="en-US"/>
        </w:rPr>
        <w:t xml:space="preserve">. He described </w:t>
      </w:r>
      <w:r w:rsidR="00B443B1" w:rsidRPr="00B443B1">
        <w:rPr>
          <w:lang w:val="en-US"/>
        </w:rPr>
        <w:t>the same cold calculation of who would survive and who would not.</w:t>
      </w:r>
      <w:r w:rsidR="0064318E">
        <w:rPr>
          <w:rStyle w:val="ae"/>
          <w:lang w:val="en-US"/>
        </w:rPr>
        <w:footnoteReference w:id="55"/>
      </w:r>
      <w:r w:rsidR="00B443B1" w:rsidRPr="00B443B1">
        <w:rPr>
          <w:lang w:val="en-US"/>
        </w:rPr>
        <w:t xml:space="preserve"> And in Gulag memoirs like Gustaw Herling-Gru</w:t>
      </w:r>
      <w:r w:rsidR="0064318E">
        <w:rPr>
          <w:lang w:val="en-US"/>
        </w:rPr>
        <w:t>dzinski’s</w:t>
      </w:r>
      <w:r w:rsidR="00B443B1" w:rsidRPr="00B443B1">
        <w:rPr>
          <w:lang w:val="en-US"/>
        </w:rPr>
        <w:t xml:space="preserve"> A World Apart, hunger produces a moral universe in which ordinary ethical rules are suspended.</w:t>
      </w:r>
      <w:r w:rsidR="0064318E">
        <w:rPr>
          <w:rStyle w:val="ae"/>
          <w:lang w:val="en-US"/>
        </w:rPr>
        <w:footnoteReference w:id="56"/>
      </w:r>
      <w:r w:rsidR="00B443B1" w:rsidRPr="00B443B1">
        <w:rPr>
          <w:lang w:val="en-US"/>
        </w:rPr>
        <w:t xml:space="preserve"> These parallels suggest that starvation, as a catastrophic condition</w:t>
      </w:r>
      <w:r w:rsidR="0064318E">
        <w:rPr>
          <w:lang w:val="en-US"/>
        </w:rPr>
        <w:t xml:space="preserve"> </w:t>
      </w:r>
      <w:r w:rsidR="00B443B1" w:rsidRPr="00B443B1">
        <w:rPr>
          <w:lang w:val="en-US"/>
        </w:rPr>
        <w:t>produces recognizable patterns of moral adaptation across different contexts</w:t>
      </w:r>
      <w:r w:rsidR="0064318E">
        <w:rPr>
          <w:lang w:val="en-US"/>
        </w:rPr>
        <w:t xml:space="preserve">, </w:t>
      </w:r>
      <w:r w:rsidR="00B443B1" w:rsidRPr="00B443B1">
        <w:rPr>
          <w:lang w:val="en-US"/>
        </w:rPr>
        <w:t>even as the political causes and stakes of each catastrophe remain distinct.</w:t>
      </w:r>
    </w:p>
    <w:p w14:paraId="7AB15F01" w14:textId="76C80117" w:rsidR="002420BD" w:rsidRDefault="00932A54" w:rsidP="00932A54">
      <w:pPr>
        <w:spacing w:after="0" w:line="480" w:lineRule="auto"/>
        <w:ind w:firstLine="720"/>
        <w:rPr>
          <w:lang w:val="en-US"/>
        </w:rPr>
      </w:pPr>
      <w:r>
        <w:rPr>
          <w:lang w:val="en-US"/>
        </w:rPr>
        <w:t xml:space="preserve">As blockade was tightened, human consciousness narrowed until it was consumed by “monotony of hunger”. Olga Berggolts was the voice of the city through her radio broadcasts and she immortalized this struggle in her poetry, writing: “one hundred and twenty-five </w:t>
      </w:r>
      <w:r>
        <w:rPr>
          <w:lang w:val="en-US"/>
        </w:rPr>
        <w:lastRenderedPageBreak/>
        <w:t>blockade grams, with fire and blood in half”.</w:t>
      </w:r>
      <w:r>
        <w:rPr>
          <w:rStyle w:val="ae"/>
          <w:lang w:val="en-US"/>
        </w:rPr>
        <w:footnoteReference w:id="57"/>
      </w:r>
      <w:r>
        <w:rPr>
          <w:lang w:val="en-US"/>
        </w:rPr>
        <w:t xml:space="preserve"> She described physical sensation of ration with agonizing precision in her diaries. This “psych</w:t>
      </w:r>
      <w:r w:rsidR="001F571A">
        <w:rPr>
          <w:lang w:val="en-US"/>
        </w:rPr>
        <w:t>osis of bread” was not merely fear of starving, but it was complete reorientation of reality. For her ration was so precious that it became a source of constant anxiety. In early 1942, she recorded a state of total preoccupation: “O, how I want to eat all the time, all the time -  this is something wild. In recent days I can almost not work because of this.”</w:t>
      </w:r>
      <w:r w:rsidR="001F571A">
        <w:rPr>
          <w:rStyle w:val="ae"/>
          <w:lang w:val="en-US"/>
        </w:rPr>
        <w:footnoteReference w:id="58"/>
      </w:r>
      <w:r w:rsidR="001F571A">
        <w:rPr>
          <w:lang w:val="en-US"/>
        </w:rPr>
        <w:t xml:space="preserve"> This mirrors experience of Lena Mukhina, whose diary transitioned from a record of teenage crushes to diary entries focused exclusively on what was eaten today and what will be eaten tomorrow. </w:t>
      </w:r>
    </w:p>
    <w:p w14:paraId="2BD15C1F" w14:textId="529963CE" w:rsidR="001F571A" w:rsidRPr="00921B61" w:rsidRDefault="00921B61" w:rsidP="00932A54">
      <w:pPr>
        <w:spacing w:after="0" w:line="480" w:lineRule="auto"/>
        <w:ind w:firstLine="720"/>
        <w:rPr>
          <w:lang w:val="en-US"/>
        </w:rPr>
      </w:pPr>
      <w:r>
        <w:rPr>
          <w:lang w:val="en-US"/>
        </w:rPr>
        <w:t xml:space="preserve">However, it is important to note that Olga Berggolts occupied a position that made her privileged than others, so that significantly altered her experience. While she initially suffered due to hunger and death of her husband Nikolai Molchanoc from dystrophy, her role at Radio </w:t>
      </w:r>
      <w:r w:rsidR="0064318E">
        <w:rPr>
          <w:lang w:val="en-US"/>
        </w:rPr>
        <w:t>Committee</w:t>
      </w:r>
      <w:r>
        <w:rPr>
          <w:lang w:val="en-US"/>
        </w:rPr>
        <w:t xml:space="preserve"> eventually granted her access to specialized canteens and good ration cards.</w:t>
      </w:r>
      <w:r>
        <w:rPr>
          <w:rStyle w:val="ae"/>
          <w:lang w:val="en-US"/>
        </w:rPr>
        <w:footnoteReference w:id="59"/>
      </w:r>
      <w:r>
        <w:rPr>
          <w:lang w:val="en-US"/>
        </w:rPr>
        <w:t xml:space="preserve"> According to the sources Berggolts and other prominent writers like Vera </w:t>
      </w:r>
      <w:proofErr w:type="spellStart"/>
      <w:r>
        <w:rPr>
          <w:lang w:val="en-US"/>
        </w:rPr>
        <w:t>Inber</w:t>
      </w:r>
      <w:proofErr w:type="spellEnd"/>
      <w:r>
        <w:rPr>
          <w:lang w:val="en-US"/>
        </w:rPr>
        <w:t xml:space="preserve"> were among the “most sated people in Leningrad”, which is status that allowed them physical energy to write about the catastrophe while others were too weak to hold a pen. </w:t>
      </w:r>
      <w:r>
        <w:rPr>
          <w:rStyle w:val="ae"/>
          <w:lang w:val="en-US"/>
        </w:rPr>
        <w:footnoteReference w:id="60"/>
      </w:r>
      <w:r>
        <w:rPr>
          <w:lang w:val="en-US"/>
        </w:rPr>
        <w:t xml:space="preserve"> This divide in access to food created profound differences between diarists. Olga herself documented this in her diary with mixture of honesty and horror, and noted that as her ration status improved she physically “grew prettier”. She admitted that she is living more privileged life compared to masses</w:t>
      </w:r>
      <w:r w:rsidR="00CC6DFB">
        <w:rPr>
          <w:lang w:val="en-US"/>
        </w:rPr>
        <w:t xml:space="preserve"> by having both wealth and official praise.</w:t>
      </w:r>
      <w:r w:rsidR="0064318E">
        <w:rPr>
          <w:rStyle w:val="ae"/>
          <w:lang w:val="en-US"/>
        </w:rPr>
        <w:footnoteReference w:id="61"/>
      </w:r>
      <w:r>
        <w:rPr>
          <w:lang w:val="en-US"/>
        </w:rPr>
        <w:t xml:space="preserve"> </w:t>
      </w:r>
    </w:p>
    <w:p w14:paraId="0BC61C65" w14:textId="0E5F5D73" w:rsidR="008F4810" w:rsidRPr="002420BD" w:rsidRDefault="008F4810" w:rsidP="008F4810">
      <w:pPr>
        <w:spacing w:after="0" w:line="480" w:lineRule="auto"/>
        <w:rPr>
          <w:b/>
          <w:bCs/>
          <w:lang w:val="en-US"/>
        </w:rPr>
      </w:pPr>
      <w:r w:rsidRPr="002420BD">
        <w:rPr>
          <w:b/>
          <w:bCs/>
          <w:lang w:val="en-US"/>
        </w:rPr>
        <w:t>Routine and Discipline</w:t>
      </w:r>
    </w:p>
    <w:p w14:paraId="7ED4C77C" w14:textId="2DDDABC9" w:rsidR="002420BD" w:rsidRDefault="002420BD" w:rsidP="002420BD">
      <w:pPr>
        <w:spacing w:after="0" w:line="480" w:lineRule="auto"/>
        <w:ind w:firstLine="720"/>
        <w:rPr>
          <w:lang w:val="en-US"/>
        </w:rPr>
      </w:pPr>
      <w:r w:rsidRPr="002420BD">
        <w:rPr>
          <w:lang w:val="en-US"/>
        </w:rPr>
        <w:t xml:space="preserve">If hunger </w:t>
      </w:r>
      <w:r>
        <w:rPr>
          <w:lang w:val="en-US"/>
        </w:rPr>
        <w:t xml:space="preserve">was causing </w:t>
      </w:r>
      <w:r w:rsidRPr="002420BD">
        <w:rPr>
          <w:lang w:val="en-US"/>
        </w:rPr>
        <w:t>mental breakdown, routine offered fragile protection</w:t>
      </w:r>
      <w:r>
        <w:rPr>
          <w:lang w:val="en-US"/>
        </w:rPr>
        <w:t xml:space="preserve"> for people</w:t>
      </w:r>
      <w:r w:rsidRPr="002420BD">
        <w:rPr>
          <w:lang w:val="en-US"/>
        </w:rPr>
        <w:t xml:space="preserve">. In conditions where body was weakening and institutions were collapsing, everyday </w:t>
      </w:r>
      <w:r w:rsidRPr="002420BD">
        <w:rPr>
          <w:lang w:val="en-US"/>
        </w:rPr>
        <w:lastRenderedPageBreak/>
        <w:t xml:space="preserve">structure became one of the last defenses against psychological disintegration. For both Lena Mukhina and Lydia Ginzburg, discipline served </w:t>
      </w:r>
      <w:r>
        <w:rPr>
          <w:lang w:val="en-US"/>
        </w:rPr>
        <w:t>sort of</w:t>
      </w:r>
      <w:r w:rsidRPr="002420BD">
        <w:rPr>
          <w:lang w:val="en-US"/>
        </w:rPr>
        <w:t xml:space="preserve"> mechanism for survival, but their approaches again differed in tone and philosophical basis. Mukhina viewed discipline through the prism of moral aspirations and Soviet self-education, while Ginzburg conceptualized routine as an existential necessity</w:t>
      </w:r>
      <w:r>
        <w:rPr>
          <w:lang w:val="en-US"/>
        </w:rPr>
        <w:t xml:space="preserve">, like </w:t>
      </w:r>
      <w:r w:rsidRPr="002420BD">
        <w:rPr>
          <w:lang w:val="en-US"/>
        </w:rPr>
        <w:t>mechanical shell protecting the individual from entropy.</w:t>
      </w:r>
      <w:r w:rsidR="00CC6DFB">
        <w:rPr>
          <w:lang w:val="en-US"/>
        </w:rPr>
        <w:t xml:space="preserve"> To this spectrum Olga Berggolts adds third dimension, which is routine as professional and moral mission. For her strict </w:t>
      </w:r>
      <w:proofErr w:type="spellStart"/>
      <w:r w:rsidR="00CC6DFB">
        <w:rPr>
          <w:lang w:val="en-US"/>
        </w:rPr>
        <w:t>fullfillment</w:t>
      </w:r>
      <w:proofErr w:type="spellEnd"/>
      <w:r w:rsidR="00CC6DFB">
        <w:rPr>
          <w:lang w:val="en-US"/>
        </w:rPr>
        <w:t xml:space="preserve"> of her duties on Radio Committee was not just personal safety net, but it was also vital function that prevented her from falling into the “stupor” caused by hunger. </w:t>
      </w:r>
    </w:p>
    <w:p w14:paraId="554837A6" w14:textId="2F53AB40" w:rsidR="008F4810" w:rsidRPr="008F4810" w:rsidRDefault="008F4810" w:rsidP="002420BD">
      <w:pPr>
        <w:spacing w:after="0" w:line="480" w:lineRule="auto"/>
        <w:ind w:firstLine="720"/>
        <w:rPr>
          <w:lang w:val="en-US"/>
        </w:rPr>
      </w:pPr>
      <w:r w:rsidRPr="008F4810">
        <w:rPr>
          <w:lang w:val="en-US"/>
        </w:rPr>
        <w:t>In Lena Mukhina’s diary, routine emerges as conscious ethical project. Even as rations decline and the city freezes, she insists that laziness is “unworthy of a Soviet schoolgirl.”</w:t>
      </w:r>
      <w:r w:rsidR="002420BD">
        <w:rPr>
          <w:rStyle w:val="ae"/>
          <w:lang w:val="en-US"/>
        </w:rPr>
        <w:footnoteReference w:id="62"/>
      </w:r>
      <w:r w:rsidRPr="008F4810">
        <w:rPr>
          <w:lang w:val="en-US"/>
        </w:rPr>
        <w:t xml:space="preserve">Her language </w:t>
      </w:r>
      <w:r w:rsidR="002420BD">
        <w:rPr>
          <w:lang w:val="en-US"/>
        </w:rPr>
        <w:t>shows</w:t>
      </w:r>
      <w:r w:rsidRPr="008F4810">
        <w:rPr>
          <w:lang w:val="en-US"/>
        </w:rPr>
        <w:t xml:space="preserve"> moral vocabulary of prewar Soviet education, in which discipline and productivity were signs of ideological maturity. Yet under blockade conditions, this rhetoric a</w:t>
      </w:r>
      <w:r w:rsidR="002420BD">
        <w:rPr>
          <w:lang w:val="en-US"/>
        </w:rPr>
        <w:t>cquires</w:t>
      </w:r>
      <w:r w:rsidRPr="008F4810">
        <w:rPr>
          <w:lang w:val="en-US"/>
        </w:rPr>
        <w:t xml:space="preserve"> new weight. Drafting daily schedules</w:t>
      </w:r>
      <w:r w:rsidR="002420BD">
        <w:rPr>
          <w:lang w:val="en-US"/>
        </w:rPr>
        <w:t>, such as</w:t>
      </w:r>
      <w:r w:rsidRPr="008F4810">
        <w:rPr>
          <w:lang w:val="en-US"/>
        </w:rPr>
        <w:t xml:space="preserve"> 7:00 AM wake-ups, radio calisthenics, allocated hours for </w:t>
      </w:r>
      <w:r w:rsidR="002420BD">
        <w:rPr>
          <w:lang w:val="en-US"/>
        </w:rPr>
        <w:t>studying</w:t>
      </w:r>
      <w:r w:rsidRPr="008F4810">
        <w:rPr>
          <w:lang w:val="en-US"/>
        </w:rPr>
        <w:t xml:space="preserve"> and literature</w:t>
      </w:r>
      <w:r w:rsidR="002420BD">
        <w:rPr>
          <w:lang w:val="en-US"/>
        </w:rPr>
        <w:t xml:space="preserve">, it </w:t>
      </w:r>
      <w:r w:rsidRPr="008F4810">
        <w:rPr>
          <w:lang w:val="en-US"/>
        </w:rPr>
        <w:t xml:space="preserve"> becomes an act of resistance against creeping paralysis of starvation.</w:t>
      </w:r>
      <w:r w:rsidR="002420BD">
        <w:rPr>
          <w:rStyle w:val="ae"/>
          <w:lang w:val="en-US"/>
        </w:rPr>
        <w:footnoteReference w:id="63"/>
      </w:r>
    </w:p>
    <w:p w14:paraId="4E962FC1" w14:textId="24AA4098" w:rsidR="006508C7" w:rsidRDefault="008F4810" w:rsidP="006508C7">
      <w:pPr>
        <w:spacing w:after="0" w:line="480" w:lineRule="auto"/>
        <w:ind w:firstLine="720"/>
        <w:rPr>
          <w:lang w:val="en-US"/>
        </w:rPr>
      </w:pPr>
      <w:r w:rsidRPr="008F4810">
        <w:rPr>
          <w:lang w:val="en-US"/>
        </w:rPr>
        <w:t>These schedules often exceed what her physical condition would realistically allow. The body grows weaker</w:t>
      </w:r>
      <w:r w:rsidR="002420BD">
        <w:rPr>
          <w:lang w:val="en-US"/>
        </w:rPr>
        <w:t>,</w:t>
      </w:r>
      <w:r w:rsidRPr="008F4810">
        <w:rPr>
          <w:lang w:val="en-US"/>
        </w:rPr>
        <w:t xml:space="preserve"> </w:t>
      </w:r>
      <w:r w:rsidR="002420BD">
        <w:rPr>
          <w:lang w:val="en-US"/>
        </w:rPr>
        <w:t>but still</w:t>
      </w:r>
      <w:r w:rsidRPr="008F4810">
        <w:rPr>
          <w:lang w:val="en-US"/>
        </w:rPr>
        <w:t xml:space="preserve"> the plan remains ambitious</w:t>
      </w:r>
      <w:r w:rsidR="002420BD">
        <w:rPr>
          <w:lang w:val="en-US"/>
        </w:rPr>
        <w:t xml:space="preserve"> and big, as it should be for proper Soviet student</w:t>
      </w:r>
      <w:r w:rsidRPr="008F4810">
        <w:rPr>
          <w:lang w:val="en-US"/>
        </w:rPr>
        <w:t xml:space="preserve">. This </w:t>
      </w:r>
      <w:r w:rsidR="001F571A">
        <w:rPr>
          <w:lang w:val="en-US"/>
        </w:rPr>
        <w:t>contradiction</w:t>
      </w:r>
      <w:r w:rsidRPr="008F4810">
        <w:rPr>
          <w:lang w:val="en-US"/>
        </w:rPr>
        <w:t xml:space="preserve"> reveals that routine is less about practical achievemen</w:t>
      </w:r>
      <w:r w:rsidR="000B7AE5">
        <w:rPr>
          <w:lang w:val="en-US"/>
        </w:rPr>
        <w:t>t</w:t>
      </w:r>
      <w:r w:rsidR="002420BD">
        <w:rPr>
          <w:lang w:val="en-US"/>
        </w:rPr>
        <w:t>, i</w:t>
      </w:r>
      <w:r w:rsidRPr="008F4810">
        <w:rPr>
          <w:lang w:val="en-US"/>
        </w:rPr>
        <w:t>t</w:t>
      </w:r>
      <w:r w:rsidR="002420BD">
        <w:rPr>
          <w:lang w:val="en-US"/>
        </w:rPr>
        <w:t xml:space="preserve"> is rather</w:t>
      </w:r>
      <w:r w:rsidRPr="008F4810">
        <w:rPr>
          <w:lang w:val="en-US"/>
        </w:rPr>
        <w:t xml:space="preserve"> symbolic preservation of identity. By continuing to think of herself as a student, Lena refuses reduction to what Ginzburg later termed “blockade person” </w:t>
      </w:r>
      <w:r w:rsidR="006508C7">
        <w:rPr>
          <w:lang w:val="en-US"/>
        </w:rPr>
        <w:t>which is</w:t>
      </w:r>
      <w:r w:rsidRPr="008F4810">
        <w:rPr>
          <w:lang w:val="en-US"/>
        </w:rPr>
        <w:t xml:space="preserve"> figure defined primarily by biological need.</w:t>
      </w:r>
      <w:r w:rsidR="006508C7">
        <w:rPr>
          <w:rStyle w:val="ae"/>
          <w:lang w:val="en-US"/>
        </w:rPr>
        <w:footnoteReference w:id="64"/>
      </w:r>
      <w:r w:rsidRPr="008F4810">
        <w:rPr>
          <w:lang w:val="en-US"/>
        </w:rPr>
        <w:t xml:space="preserve"> Academic discipline becomes a </w:t>
      </w:r>
      <w:r w:rsidR="006508C7">
        <w:rPr>
          <w:lang w:val="en-US"/>
        </w:rPr>
        <w:t>link</w:t>
      </w:r>
      <w:r w:rsidRPr="008F4810">
        <w:rPr>
          <w:lang w:val="en-US"/>
        </w:rPr>
        <w:t xml:space="preserve"> to prewar norma</w:t>
      </w:r>
      <w:r w:rsidR="006508C7">
        <w:rPr>
          <w:lang w:val="en-US"/>
        </w:rPr>
        <w:t>l life</w:t>
      </w:r>
      <w:r w:rsidRPr="008F4810">
        <w:rPr>
          <w:lang w:val="en-US"/>
        </w:rPr>
        <w:t xml:space="preserve">. It preserves narrative continuity in a world that </w:t>
      </w:r>
      <w:r w:rsidR="006508C7">
        <w:rPr>
          <w:lang w:val="en-US"/>
        </w:rPr>
        <w:t>is shattered for Lena</w:t>
      </w:r>
      <w:r w:rsidRPr="008F4810">
        <w:rPr>
          <w:lang w:val="en-US"/>
        </w:rPr>
        <w:t>.</w:t>
      </w:r>
    </w:p>
    <w:p w14:paraId="0A33191D" w14:textId="0BFD1EFE" w:rsidR="00D624CF" w:rsidRDefault="006508C7" w:rsidP="00D624CF">
      <w:pPr>
        <w:spacing w:after="0" w:line="480" w:lineRule="auto"/>
        <w:ind w:firstLine="720"/>
        <w:rPr>
          <w:lang w:val="en-US"/>
        </w:rPr>
      </w:pPr>
      <w:r w:rsidRPr="006508C7">
        <w:rPr>
          <w:lang w:val="en-US"/>
        </w:rPr>
        <w:lastRenderedPageBreak/>
        <w:t>Alexis Per</w:t>
      </w:r>
      <w:r w:rsidR="0064318E">
        <w:rPr>
          <w:lang w:val="en-US"/>
        </w:rPr>
        <w:t>i</w:t>
      </w:r>
      <w:r w:rsidRPr="006508C7">
        <w:rPr>
          <w:lang w:val="en-US"/>
        </w:rPr>
        <w:t xml:space="preserve"> argues that authors of siege diaries often used writing to impose time order in conditions where traditional time </w:t>
      </w:r>
      <w:r>
        <w:rPr>
          <w:lang w:val="en-US"/>
        </w:rPr>
        <w:t>was no longer</w:t>
      </w:r>
      <w:r w:rsidRPr="006508C7">
        <w:rPr>
          <w:lang w:val="en-US"/>
        </w:rPr>
        <w:t xml:space="preserve"> </w:t>
      </w:r>
      <w:r>
        <w:rPr>
          <w:lang w:val="en-US"/>
        </w:rPr>
        <w:t>existed.</w:t>
      </w:r>
      <w:r>
        <w:rPr>
          <w:rStyle w:val="ae"/>
          <w:lang w:val="en-US"/>
        </w:rPr>
        <w:footnoteReference w:id="65"/>
      </w:r>
      <w:r w:rsidRPr="006508C7">
        <w:rPr>
          <w:lang w:val="en-US"/>
        </w:rPr>
        <w:t xml:space="preserve"> Lena's schedule functions in precisely this way. It divides the day into meaningful parts</w:t>
      </w:r>
      <w:r>
        <w:rPr>
          <w:lang w:val="en-US"/>
        </w:rPr>
        <w:t>, like</w:t>
      </w:r>
      <w:r w:rsidRPr="006508C7">
        <w:rPr>
          <w:lang w:val="en-US"/>
        </w:rPr>
        <w:t xml:space="preserve"> study, physical exercise, writing. Hunger compresses time into cycles of waiting for bread</w:t>
      </w:r>
      <w:r>
        <w:rPr>
          <w:lang w:val="en-US"/>
        </w:rPr>
        <w:t>, and</w:t>
      </w:r>
      <w:r w:rsidRPr="006508C7">
        <w:rPr>
          <w:lang w:val="en-US"/>
        </w:rPr>
        <w:t xml:space="preserve"> routine stretches it back int</w:t>
      </w:r>
      <w:r>
        <w:rPr>
          <w:lang w:val="en-US"/>
        </w:rPr>
        <w:t>o an</w:t>
      </w:r>
      <w:r w:rsidRPr="006508C7">
        <w:rPr>
          <w:lang w:val="en-US"/>
        </w:rPr>
        <w:t xml:space="preserve"> structured duration. The act of planning becomes</w:t>
      </w:r>
      <w:r>
        <w:rPr>
          <w:lang w:val="en-US"/>
        </w:rPr>
        <w:t xml:space="preserve"> </w:t>
      </w:r>
      <w:r w:rsidRPr="006508C7">
        <w:rPr>
          <w:lang w:val="en-US"/>
        </w:rPr>
        <w:t>affirmation that tomorrow exists.</w:t>
      </w:r>
      <w:r>
        <w:rPr>
          <w:lang w:val="en-US"/>
        </w:rPr>
        <w:t xml:space="preserve"> </w:t>
      </w:r>
      <w:r w:rsidR="008F4810" w:rsidRPr="008F4810">
        <w:rPr>
          <w:lang w:val="en-US"/>
        </w:rPr>
        <w:t>The diary itself becomes part of this disciplinary regime. Lena chastises herself for neglecting entries or allowing her handwriting to deteriorate into a “mess.”</w:t>
      </w:r>
      <w:r>
        <w:rPr>
          <w:rStyle w:val="ae"/>
          <w:lang w:val="en-US"/>
        </w:rPr>
        <w:footnoteReference w:id="66"/>
      </w:r>
      <w:r>
        <w:rPr>
          <w:lang w:val="en-US"/>
        </w:rPr>
        <w:t xml:space="preserve"> </w:t>
      </w:r>
      <w:r w:rsidR="00DF6AD1" w:rsidRPr="00DF6AD1">
        <w:rPr>
          <w:lang w:val="en-US"/>
        </w:rPr>
        <w:t>I suggest that</w:t>
      </w:r>
      <w:r w:rsidR="00DF6AD1">
        <w:rPr>
          <w:lang w:val="en-US"/>
        </w:rPr>
        <w:t xml:space="preserve"> h</w:t>
      </w:r>
      <w:r>
        <w:rPr>
          <w:lang w:val="en-US"/>
        </w:rPr>
        <w:t>er c</w:t>
      </w:r>
      <w:r w:rsidRPr="006508C7">
        <w:rPr>
          <w:lang w:val="en-US"/>
        </w:rPr>
        <w:t>aring about handwriting</w:t>
      </w:r>
      <w:r>
        <w:rPr>
          <w:lang w:val="en-US"/>
        </w:rPr>
        <w:t xml:space="preserve"> may seem</w:t>
      </w:r>
      <w:r w:rsidRPr="006508C7">
        <w:rPr>
          <w:lang w:val="en-US"/>
        </w:rPr>
        <w:t xml:space="preserve"> trivial matter </w:t>
      </w:r>
      <w:r>
        <w:rPr>
          <w:lang w:val="en-US"/>
        </w:rPr>
        <w:t xml:space="preserve">when compared to starvation, but it </w:t>
      </w:r>
      <w:r w:rsidRPr="006508C7">
        <w:rPr>
          <w:lang w:val="en-US"/>
        </w:rPr>
        <w:t>signals a deeper anxiety</w:t>
      </w:r>
      <w:r>
        <w:rPr>
          <w:lang w:val="en-US"/>
        </w:rPr>
        <w:t>.</w:t>
      </w:r>
      <w:r w:rsidRPr="006508C7">
        <w:rPr>
          <w:lang w:val="en-US"/>
        </w:rPr>
        <w:t xml:space="preserve"> </w:t>
      </w:r>
      <w:r>
        <w:rPr>
          <w:lang w:val="en-US"/>
        </w:rPr>
        <w:t xml:space="preserve">That is </w:t>
      </w:r>
      <w:r w:rsidRPr="006508C7">
        <w:rPr>
          <w:lang w:val="en-US"/>
        </w:rPr>
        <w:t>the loss of order in writing reflects the loss of order within oneself. Writing neatly means remaining civilized</w:t>
      </w:r>
      <w:r w:rsidR="00D624CF">
        <w:rPr>
          <w:lang w:val="en-US"/>
        </w:rPr>
        <w:t xml:space="preserve"> for her</w:t>
      </w:r>
      <w:r w:rsidRPr="006508C7">
        <w:rPr>
          <w:lang w:val="en-US"/>
        </w:rPr>
        <w:t xml:space="preserve">. Analyzing </w:t>
      </w:r>
      <w:r w:rsidR="00D624CF">
        <w:rPr>
          <w:lang w:val="en-US"/>
        </w:rPr>
        <w:t>your</w:t>
      </w:r>
      <w:r w:rsidRPr="006508C7">
        <w:rPr>
          <w:lang w:val="en-US"/>
        </w:rPr>
        <w:t xml:space="preserve"> own actions</w:t>
      </w:r>
      <w:r w:rsidR="00D624CF">
        <w:rPr>
          <w:lang w:val="en-US"/>
        </w:rPr>
        <w:t xml:space="preserve"> </w:t>
      </w:r>
      <w:r w:rsidRPr="006508C7">
        <w:rPr>
          <w:lang w:val="en-US"/>
        </w:rPr>
        <w:t>means maintaining the ability to reflect.</w:t>
      </w:r>
    </w:p>
    <w:p w14:paraId="2678EE86" w14:textId="0B458CFF" w:rsidR="008F4810" w:rsidRPr="008F4810" w:rsidRDefault="008F4810" w:rsidP="00DF6AD1">
      <w:pPr>
        <w:spacing w:after="0" w:line="480" w:lineRule="auto"/>
        <w:ind w:firstLine="720"/>
        <w:rPr>
          <w:lang w:val="en-US"/>
        </w:rPr>
      </w:pPr>
      <w:r w:rsidRPr="008F4810">
        <w:rPr>
          <w:lang w:val="en-US"/>
        </w:rPr>
        <w:t>Here trauma theory provides further insight. Cathy Caruth emphasizes that traumatic experience disrupts narrative continuity and destabilizes coherent self-perception.</w:t>
      </w:r>
      <w:r w:rsidR="00D624CF">
        <w:rPr>
          <w:rStyle w:val="ae"/>
          <w:lang w:val="en-US"/>
        </w:rPr>
        <w:footnoteReference w:id="67"/>
      </w:r>
      <w:r w:rsidRPr="008F4810">
        <w:rPr>
          <w:lang w:val="en-US"/>
        </w:rPr>
        <w:t xml:space="preserve"> In Lena’s case, routine functions </w:t>
      </w:r>
      <w:r w:rsidR="00D624CF">
        <w:rPr>
          <w:lang w:val="en-US"/>
        </w:rPr>
        <w:t xml:space="preserve">like an </w:t>
      </w:r>
      <w:r w:rsidRPr="008F4810">
        <w:rPr>
          <w:lang w:val="en-US"/>
        </w:rPr>
        <w:t>antidote to fragmentation. By narrating each day within predictable parameters, she constructs</w:t>
      </w:r>
      <w:r w:rsidR="00D624CF">
        <w:rPr>
          <w:lang w:val="en-US"/>
        </w:rPr>
        <w:t xml:space="preserve"> </w:t>
      </w:r>
      <w:r w:rsidRPr="008F4810">
        <w:rPr>
          <w:lang w:val="en-US"/>
        </w:rPr>
        <w:t>scaffold for identity. Writing does not eliminate trauma, but it prevents the complete dissolution of subjectivity.</w:t>
      </w:r>
      <w:r w:rsidR="00DF6AD1">
        <w:rPr>
          <w:lang w:val="en-US"/>
        </w:rPr>
        <w:t xml:space="preserve"> </w:t>
      </w:r>
      <w:r w:rsidRPr="008F4810">
        <w:rPr>
          <w:lang w:val="en-US"/>
        </w:rPr>
        <w:t xml:space="preserve">However, the gap between intention and bodily capacity grows increasingly visible. </w:t>
      </w:r>
      <w:r w:rsidR="00D624CF" w:rsidRPr="00D624CF">
        <w:rPr>
          <w:lang w:val="en-US"/>
        </w:rPr>
        <w:t>There are entries in which Lena decides to work hard, bu</w:t>
      </w:r>
      <w:r w:rsidR="00D624CF">
        <w:rPr>
          <w:lang w:val="en-US"/>
        </w:rPr>
        <w:t>t at the end she</w:t>
      </w:r>
      <w:r w:rsidR="00D624CF" w:rsidRPr="00D624CF">
        <w:rPr>
          <w:lang w:val="en-US"/>
        </w:rPr>
        <w:t xml:space="preserve"> admits that she is tired or unable to concentrate.</w:t>
      </w:r>
      <w:r w:rsidR="00D624CF">
        <w:rPr>
          <w:rStyle w:val="ae"/>
          <w:lang w:val="en-US"/>
        </w:rPr>
        <w:footnoteReference w:id="68"/>
      </w:r>
      <w:r w:rsidR="00D624CF" w:rsidRPr="00D624CF">
        <w:rPr>
          <w:lang w:val="en-US"/>
        </w:rPr>
        <w:t>These failures cause feelings of guilt</w:t>
      </w:r>
      <w:r w:rsidR="00DF6AD1">
        <w:rPr>
          <w:lang w:val="en-US"/>
        </w:rPr>
        <w:t xml:space="preserve">. </w:t>
      </w:r>
      <w:r w:rsidR="00DF6AD1" w:rsidRPr="00DF6AD1">
        <w:rPr>
          <w:lang w:val="en-US"/>
        </w:rPr>
        <w:t xml:space="preserve">This guilt stems </w:t>
      </w:r>
      <w:r w:rsidR="00DF6AD1">
        <w:rPr>
          <w:lang w:val="en-US"/>
        </w:rPr>
        <w:t xml:space="preserve">from </w:t>
      </w:r>
      <w:r w:rsidR="00DF6AD1" w:rsidRPr="00DF6AD1">
        <w:rPr>
          <w:lang w:val="en-US"/>
        </w:rPr>
        <w:t>not</w:t>
      </w:r>
      <w:r w:rsidR="00DF6AD1">
        <w:rPr>
          <w:lang w:val="en-US"/>
        </w:rPr>
        <w:t xml:space="preserve"> just </w:t>
      </w:r>
      <w:r w:rsidR="00DF6AD1" w:rsidRPr="00DF6AD1">
        <w:rPr>
          <w:lang w:val="en-US"/>
        </w:rPr>
        <w:t>personal disappointment but from Lena's inability to live up to an internalized image of the ideal Soviet self</w:t>
      </w:r>
      <w:r w:rsidR="00DF6AD1">
        <w:rPr>
          <w:lang w:val="en-US"/>
        </w:rPr>
        <w:t xml:space="preserve">, which was </w:t>
      </w:r>
      <w:r w:rsidR="00DF6AD1" w:rsidRPr="00DF6AD1">
        <w:rPr>
          <w:lang w:val="en-US"/>
        </w:rPr>
        <w:t>disciplined, productive, and unyielding in the face of hardship</w:t>
      </w:r>
      <w:r w:rsidR="00DF6AD1">
        <w:rPr>
          <w:lang w:val="en-US"/>
        </w:rPr>
        <w:t xml:space="preserve"> type of </w:t>
      </w:r>
      <w:r w:rsidR="00DF6AD1">
        <w:rPr>
          <w:lang w:val="en-US"/>
        </w:rPr>
        <w:lastRenderedPageBreak/>
        <w:t>person</w:t>
      </w:r>
      <w:r w:rsidR="00DF6AD1" w:rsidRPr="00DF6AD1">
        <w:rPr>
          <w:lang w:val="en-US"/>
        </w:rPr>
        <w:t>.</w:t>
      </w:r>
      <w:r w:rsidR="00D624CF" w:rsidRPr="00D624CF">
        <w:rPr>
          <w:lang w:val="en-US"/>
        </w:rPr>
        <w:t xml:space="preserve"> </w:t>
      </w:r>
      <w:r w:rsidR="00DF6AD1" w:rsidRPr="00DF6AD1">
        <w:rPr>
          <w:lang w:val="en-US"/>
        </w:rPr>
        <w:t>The tension between these ideological ideals and her biological limitations becomes almost unbearable</w:t>
      </w:r>
      <w:r w:rsidR="00D624CF" w:rsidRPr="00D624CF">
        <w:rPr>
          <w:lang w:val="en-US"/>
        </w:rPr>
        <w:t>.</w:t>
      </w:r>
    </w:p>
    <w:p w14:paraId="6453FF2E" w14:textId="5CA271C5" w:rsidR="008F4810" w:rsidRPr="008F4810" w:rsidRDefault="008F4810" w:rsidP="00D624CF">
      <w:pPr>
        <w:spacing w:after="0" w:line="480" w:lineRule="auto"/>
        <w:ind w:firstLine="720"/>
        <w:rPr>
          <w:lang w:val="en-US"/>
        </w:rPr>
      </w:pPr>
      <w:r w:rsidRPr="008F4810">
        <w:rPr>
          <w:lang w:val="en-US"/>
        </w:rPr>
        <w:t>If Mukhina frames routine as moral aspiration, Ginzburg conceptualizes it as structural defense. In “The Blockade Person,” she describes the siege day as  “</w:t>
      </w:r>
      <w:proofErr w:type="spellStart"/>
      <w:r w:rsidR="00D624CF">
        <w:rPr>
          <w:lang w:val="en-US"/>
        </w:rPr>
        <w:t>c</w:t>
      </w:r>
      <w:r w:rsidRPr="008F4810">
        <w:rPr>
          <w:lang w:val="en-US"/>
        </w:rPr>
        <w:t>ircle”</w:t>
      </w:r>
      <w:r w:rsidR="00D624CF">
        <w:rPr>
          <w:lang w:val="en-US"/>
        </w:rPr>
        <w:t>,</w:t>
      </w:r>
      <w:r w:rsidRPr="008F4810">
        <w:rPr>
          <w:lang w:val="en-US"/>
        </w:rPr>
        <w:t>closed</w:t>
      </w:r>
      <w:proofErr w:type="spellEnd"/>
      <w:r w:rsidRPr="008F4810">
        <w:rPr>
          <w:lang w:val="en-US"/>
        </w:rPr>
        <w:t xml:space="preserve"> sequence of “absolutely unfree movements”: hauling water, chopping wood, queuing for bread, searching for fuel.</w:t>
      </w:r>
      <w:r w:rsidR="00D624CF">
        <w:rPr>
          <w:rStyle w:val="ae"/>
          <w:lang w:val="en-US"/>
        </w:rPr>
        <w:footnoteReference w:id="69"/>
      </w:r>
      <w:r w:rsidRPr="008F4810">
        <w:rPr>
          <w:lang w:val="en-US"/>
        </w:rPr>
        <w:t>These actions are repetitive, exhausting, and devoid of creative autonomy. Yet paradoxically, their very repetitiveness protects the self.</w:t>
      </w:r>
    </w:p>
    <w:p w14:paraId="6EB47679" w14:textId="5D0016F1" w:rsidR="008F4810" w:rsidRPr="008F4810" w:rsidRDefault="008F4810" w:rsidP="00D624CF">
      <w:pPr>
        <w:spacing w:after="0" w:line="480" w:lineRule="auto"/>
        <w:ind w:firstLine="720"/>
        <w:rPr>
          <w:lang w:val="en-US"/>
        </w:rPr>
      </w:pPr>
      <w:r w:rsidRPr="008F4810">
        <w:rPr>
          <w:lang w:val="en-US"/>
        </w:rPr>
        <w:t xml:space="preserve">Ginzburg argues that habit </w:t>
      </w:r>
      <w:r w:rsidR="00D624CF">
        <w:rPr>
          <w:lang w:val="en-US"/>
        </w:rPr>
        <w:t>frees</w:t>
      </w:r>
      <w:r w:rsidRPr="008F4810">
        <w:rPr>
          <w:lang w:val="en-US"/>
        </w:rPr>
        <w:t xml:space="preserve"> the will from making decisions.</w:t>
      </w:r>
      <w:r w:rsidR="00D624CF">
        <w:rPr>
          <w:rStyle w:val="ae"/>
          <w:lang w:val="en-US"/>
        </w:rPr>
        <w:footnoteReference w:id="70"/>
      </w:r>
      <w:r w:rsidRPr="008F4810">
        <w:rPr>
          <w:lang w:val="en-US"/>
        </w:rPr>
        <w:t xml:space="preserve"> Under extreme starvation, decision-making becomes </w:t>
      </w:r>
      <w:r w:rsidR="00D624CF">
        <w:rPr>
          <w:lang w:val="en-US"/>
        </w:rPr>
        <w:t>nearly impossible, since</w:t>
      </w:r>
      <w:r w:rsidRPr="008F4810">
        <w:rPr>
          <w:lang w:val="en-US"/>
        </w:rPr>
        <w:t xml:space="preserve"> each choice drains scarce mental energy. Routine </w:t>
      </w:r>
      <w:r w:rsidR="00D624CF">
        <w:rPr>
          <w:lang w:val="en-US"/>
        </w:rPr>
        <w:t xml:space="preserve">makes </w:t>
      </w:r>
      <w:r w:rsidRPr="008F4810">
        <w:rPr>
          <w:lang w:val="en-US"/>
        </w:rPr>
        <w:t>existence</w:t>
      </w:r>
      <w:r w:rsidR="00D624CF">
        <w:rPr>
          <w:lang w:val="en-US"/>
        </w:rPr>
        <w:t xml:space="preserve"> automatic</w:t>
      </w:r>
      <w:r w:rsidRPr="008F4810">
        <w:rPr>
          <w:lang w:val="en-US"/>
        </w:rPr>
        <w:t xml:space="preserve">. </w:t>
      </w:r>
      <w:r w:rsidR="00D624CF" w:rsidRPr="00D624CF">
        <w:rPr>
          <w:lang w:val="en-US"/>
        </w:rPr>
        <w:t xml:space="preserve">The body </w:t>
      </w:r>
      <w:r w:rsidR="00D624CF">
        <w:rPr>
          <w:lang w:val="en-US"/>
        </w:rPr>
        <w:t xml:space="preserve">makes </w:t>
      </w:r>
      <w:r w:rsidR="00D624CF" w:rsidRPr="00D624CF">
        <w:rPr>
          <w:lang w:val="en-US"/>
        </w:rPr>
        <w:t>memorized movements even when the mind fails. In this sense, discipline is not an ideological virtue, but mechanical survival.</w:t>
      </w:r>
    </w:p>
    <w:p w14:paraId="1346EA90" w14:textId="77777777" w:rsidR="00BF27AB" w:rsidRDefault="008F4810" w:rsidP="00BF27AB">
      <w:pPr>
        <w:spacing w:after="0" w:line="480" w:lineRule="auto"/>
        <w:ind w:firstLine="720"/>
        <w:rPr>
          <w:lang w:val="en-US"/>
        </w:rPr>
      </w:pPr>
      <w:r w:rsidRPr="008F4810">
        <w:rPr>
          <w:lang w:val="en-US"/>
        </w:rPr>
        <w:t>The “Circle” also restructures t</w:t>
      </w:r>
      <w:r w:rsidR="00BF27AB">
        <w:rPr>
          <w:lang w:val="en-US"/>
        </w:rPr>
        <w:t>ime</w:t>
      </w:r>
      <w:r w:rsidRPr="008F4810">
        <w:rPr>
          <w:lang w:val="en-US"/>
        </w:rPr>
        <w:t>. Instead of forward-moving narrative, the blockade day becomes cyclical and enclosed. There is no horizon beyond the next ration, the next queue. Yet precisely because the day is structured, it prevents descent into what Ginzburg calls the “void.”</w:t>
      </w:r>
      <w:r w:rsidR="00BF27AB">
        <w:rPr>
          <w:rStyle w:val="ae"/>
          <w:lang w:val="en-US"/>
        </w:rPr>
        <w:footnoteReference w:id="71"/>
      </w:r>
      <w:r w:rsidRPr="008F4810">
        <w:rPr>
          <w:lang w:val="en-US"/>
        </w:rPr>
        <w:t>The void is no</w:t>
      </w:r>
      <w:r w:rsidR="00BF27AB">
        <w:rPr>
          <w:lang w:val="en-US"/>
        </w:rPr>
        <w:t xml:space="preserve"> just</w:t>
      </w:r>
      <w:r w:rsidRPr="008F4810">
        <w:rPr>
          <w:lang w:val="en-US"/>
        </w:rPr>
        <w:t xml:space="preserve"> physical emptiness but psychological disintegration</w:t>
      </w:r>
      <w:r w:rsidR="00BF27AB">
        <w:rPr>
          <w:lang w:val="en-US"/>
        </w:rPr>
        <w:t>,</w:t>
      </w:r>
      <w:r w:rsidRPr="008F4810">
        <w:rPr>
          <w:lang w:val="en-US"/>
        </w:rPr>
        <w:t xml:space="preserve"> </w:t>
      </w:r>
      <w:r w:rsidR="00BF27AB">
        <w:rPr>
          <w:lang w:val="en-US"/>
        </w:rPr>
        <w:t>it is</w:t>
      </w:r>
      <w:r w:rsidRPr="008F4810">
        <w:rPr>
          <w:lang w:val="en-US"/>
        </w:rPr>
        <w:t xml:space="preserve"> loss of coherence in which hunger erases personality.</w:t>
      </w:r>
      <w:r w:rsidR="00BF27AB">
        <w:rPr>
          <w:lang w:val="en-US"/>
        </w:rPr>
        <w:t xml:space="preserve"> </w:t>
      </w:r>
      <w:r w:rsidRPr="008F4810">
        <w:rPr>
          <w:lang w:val="en-US"/>
        </w:rPr>
        <w:t xml:space="preserve">Ginzburg’s analysis suggests that habit becomes substitute for freedom. The blockade person’s movements are “absolutely unfree” </w:t>
      </w:r>
      <w:r w:rsidR="00BF27AB">
        <w:rPr>
          <w:lang w:val="en-US"/>
        </w:rPr>
        <w:t>but</w:t>
      </w:r>
      <w:r w:rsidRPr="008F4810">
        <w:rPr>
          <w:lang w:val="en-US"/>
        </w:rPr>
        <w:t xml:space="preserve"> </w:t>
      </w:r>
      <w:r w:rsidR="00BF27AB">
        <w:rPr>
          <w:lang w:val="en-US"/>
        </w:rPr>
        <w:t>i</w:t>
      </w:r>
      <w:r w:rsidRPr="008F4810">
        <w:rPr>
          <w:lang w:val="en-US"/>
        </w:rPr>
        <w:t>n their inevitability lies stability.</w:t>
      </w:r>
      <w:r w:rsidR="00BF27AB">
        <w:rPr>
          <w:rStyle w:val="ae"/>
          <w:lang w:val="en-US"/>
        </w:rPr>
        <w:footnoteReference w:id="72"/>
      </w:r>
      <w:r w:rsidRPr="008F4810">
        <w:rPr>
          <w:lang w:val="en-US"/>
        </w:rPr>
        <w:t>Unlike Lena’s aspirational discipline, Ginzburg’s routine requires no ideological justification. It is stripped of patriotic rhetoric</w:t>
      </w:r>
      <w:r w:rsidR="00BF27AB">
        <w:rPr>
          <w:lang w:val="en-US"/>
        </w:rPr>
        <w:t>,</w:t>
      </w:r>
      <w:r w:rsidRPr="008F4810">
        <w:rPr>
          <w:lang w:val="en-US"/>
        </w:rPr>
        <w:t xml:space="preserve"> </w:t>
      </w:r>
      <w:r w:rsidR="00BF27AB">
        <w:rPr>
          <w:lang w:val="en-US"/>
        </w:rPr>
        <w:t>so i</w:t>
      </w:r>
      <w:r w:rsidRPr="008F4810">
        <w:rPr>
          <w:lang w:val="en-US"/>
        </w:rPr>
        <w:t xml:space="preserve">t is </w:t>
      </w:r>
      <w:r w:rsidR="00BF27AB">
        <w:rPr>
          <w:lang w:val="en-US"/>
        </w:rPr>
        <w:t xml:space="preserve">more like a </w:t>
      </w:r>
      <w:r w:rsidRPr="008F4810">
        <w:rPr>
          <w:lang w:val="en-US"/>
        </w:rPr>
        <w:t>skeletal structure.</w:t>
      </w:r>
      <w:r w:rsidR="00BF27AB">
        <w:rPr>
          <w:lang w:val="en-US"/>
        </w:rPr>
        <w:t xml:space="preserve"> </w:t>
      </w:r>
    </w:p>
    <w:p w14:paraId="40B632E8" w14:textId="24021FD8" w:rsidR="005845F8" w:rsidRDefault="00CC6DFB" w:rsidP="00FE4924">
      <w:pPr>
        <w:spacing w:after="0" w:line="480" w:lineRule="auto"/>
        <w:ind w:firstLine="720"/>
        <w:rPr>
          <w:lang w:val="en-US"/>
        </w:rPr>
      </w:pPr>
      <w:r>
        <w:rPr>
          <w:lang w:val="en-US"/>
        </w:rPr>
        <w:t xml:space="preserve">For Olga Berggolts, routine and discipline were “vital function” and it was essential for both physical and psychological preservation. While other diarists used discipline as </w:t>
      </w:r>
      <w:r>
        <w:rPr>
          <w:lang w:val="en-US"/>
        </w:rPr>
        <w:lastRenderedPageBreak/>
        <w:t>existential shell or moral project, Berggolts viewed her strict adherence to work at radio station as literal shield against madness. In February 1942 she recorded: “</w:t>
      </w:r>
      <w:r w:rsidRPr="00CC6DFB">
        <w:rPr>
          <w:lang w:val="en-US"/>
        </w:rPr>
        <w:t>I must write. I must do something to survive, not to go crazy, not to lie down..."</w:t>
      </w:r>
      <w:r>
        <w:rPr>
          <w:rStyle w:val="ae"/>
          <w:lang w:val="en-US"/>
        </w:rPr>
        <w:footnoteReference w:id="73"/>
      </w:r>
      <w:r w:rsidR="005845F8">
        <w:rPr>
          <w:lang w:val="en-US"/>
        </w:rPr>
        <w:t xml:space="preserve"> Her discipline was uniquely communal and sacrificial. She felt professional and moral obligation to hide her fear and “heart’s dread” to provide spirit boost to demoralized citizens of Leningrad.</w:t>
      </w:r>
      <w:r w:rsidR="00FB0F58">
        <w:rPr>
          <w:lang w:val="en-US"/>
        </w:rPr>
        <w:t xml:space="preserve"> She maintained her emotional balance through heavy workload, like writing radio scripts and messages to soldiers. It served as barrier and prevented her from sinking into state of apathy when person lies “without any will and desire in a dark corner”.</w:t>
      </w:r>
      <w:r w:rsidR="00FB0F58">
        <w:rPr>
          <w:rStyle w:val="ae"/>
          <w:lang w:val="en-US"/>
        </w:rPr>
        <w:footnoteReference w:id="74"/>
      </w:r>
      <w:r w:rsidR="00FB0F58">
        <w:rPr>
          <w:lang w:val="en-US"/>
        </w:rPr>
        <w:t xml:space="preserve"> Her ability to maintain this structure was reinforces by her previous experience in prison (1938-1939). Berggolts used it as psychological template to get through blockade as if it were similar “trial” that she already proven she was capable of enduring. Ultimately, her routine was</w:t>
      </w:r>
      <w:r w:rsidR="00DF6AD1">
        <w:rPr>
          <w:lang w:val="en-US"/>
        </w:rPr>
        <w:t xml:space="preserve"> a</w:t>
      </w:r>
      <w:r w:rsidR="00FB0F58">
        <w:rPr>
          <w:lang w:val="en-US"/>
        </w:rPr>
        <w:t xml:space="preserve"> mission driven discipline. Her profound belie</w:t>
      </w:r>
      <w:r w:rsidR="00DF6AD1">
        <w:rPr>
          <w:lang w:val="en-US"/>
        </w:rPr>
        <w:t>f</w:t>
      </w:r>
      <w:r w:rsidR="00FB0F58">
        <w:rPr>
          <w:lang w:val="en-US"/>
        </w:rPr>
        <w:t xml:space="preserve"> that poetry was </w:t>
      </w:r>
      <w:r w:rsidR="00DF6AD1">
        <w:rPr>
          <w:lang w:val="en-US"/>
        </w:rPr>
        <w:t>a kind</w:t>
      </w:r>
      <w:r w:rsidR="00FB0F58">
        <w:rPr>
          <w:lang w:val="en-US"/>
        </w:rPr>
        <w:t xml:space="preserve"> of </w:t>
      </w:r>
      <w:proofErr w:type="spellStart"/>
      <w:r w:rsidR="00DF6AD1">
        <w:rPr>
          <w:lang w:val="en-US"/>
        </w:rPr>
        <w:t>theurapeutic</w:t>
      </w:r>
      <w:proofErr w:type="spellEnd"/>
      <w:r w:rsidR="00FB0F58">
        <w:rPr>
          <w:lang w:val="en-US"/>
        </w:rPr>
        <w:t xml:space="preserve"> force capable of healing broken, tired people, became the primary tool to maintain her identity as human being and voice for the city.</w:t>
      </w:r>
    </w:p>
    <w:p w14:paraId="7C813F4D" w14:textId="39844EC8" w:rsidR="00BF27AB" w:rsidRPr="00BF27AB" w:rsidRDefault="00BF27AB" w:rsidP="00BF27AB">
      <w:pPr>
        <w:spacing w:after="0" w:line="480" w:lineRule="auto"/>
        <w:rPr>
          <w:b/>
          <w:bCs/>
          <w:lang w:val="en-US"/>
        </w:rPr>
      </w:pPr>
      <w:r w:rsidRPr="00BF27AB">
        <w:rPr>
          <w:b/>
          <w:bCs/>
          <w:lang w:val="en-US"/>
        </w:rPr>
        <w:t>Emotional Fluctuation and Splitting</w:t>
      </w:r>
    </w:p>
    <w:p w14:paraId="44A83268" w14:textId="4D0C678E" w:rsidR="00BF27AB" w:rsidRPr="00BF27AB" w:rsidRDefault="00BF27AB" w:rsidP="00DD1222">
      <w:pPr>
        <w:spacing w:after="0" w:line="480" w:lineRule="auto"/>
        <w:ind w:firstLine="720"/>
        <w:rPr>
          <w:lang w:val="en-US"/>
        </w:rPr>
      </w:pPr>
      <w:r w:rsidRPr="00BF27AB">
        <w:rPr>
          <w:lang w:val="en-US"/>
        </w:rPr>
        <w:t xml:space="preserve">Both Lena Mukhina and Lidiya Ginzburg </w:t>
      </w:r>
      <w:r>
        <w:rPr>
          <w:lang w:val="en-US"/>
        </w:rPr>
        <w:t xml:space="preserve">document </w:t>
      </w:r>
      <w:r w:rsidRPr="00BF27AB">
        <w:rPr>
          <w:lang w:val="en-US"/>
        </w:rPr>
        <w:t>a profound splitting (</w:t>
      </w:r>
      <w:proofErr w:type="spellStart"/>
      <w:r w:rsidRPr="00BF27AB">
        <w:rPr>
          <w:lang w:val="en-US"/>
        </w:rPr>
        <w:t>раздвоение</w:t>
      </w:r>
      <w:proofErr w:type="spellEnd"/>
      <w:r w:rsidRPr="00BF27AB">
        <w:rPr>
          <w:lang w:val="en-US"/>
        </w:rPr>
        <w:t>) of the self under conditions of starvation. Hunger does no</w:t>
      </w:r>
      <w:r>
        <w:rPr>
          <w:lang w:val="en-US"/>
        </w:rPr>
        <w:t>t just</w:t>
      </w:r>
      <w:r w:rsidRPr="00BF27AB">
        <w:rPr>
          <w:lang w:val="en-US"/>
        </w:rPr>
        <w:t xml:space="preserve"> weaken the body</w:t>
      </w:r>
      <w:r>
        <w:rPr>
          <w:lang w:val="en-US"/>
        </w:rPr>
        <w:t xml:space="preserve">, </w:t>
      </w:r>
      <w:r w:rsidRPr="00BF27AB">
        <w:rPr>
          <w:lang w:val="en-US"/>
        </w:rPr>
        <w:t xml:space="preserve">it destabilizes the unity of identity. Emotional states </w:t>
      </w:r>
      <w:r w:rsidR="00BC43C6">
        <w:rPr>
          <w:lang w:val="en-US"/>
        </w:rPr>
        <w:t>moves back and forth</w:t>
      </w:r>
      <w:r w:rsidRPr="00BF27AB">
        <w:rPr>
          <w:lang w:val="en-US"/>
        </w:rPr>
        <w:t xml:space="preserve"> sharply between exaltation and despair, while consciousness fractures into observing and suffering selves. In both texts, this division functions as survival mechanism</w:t>
      </w:r>
      <w:r w:rsidR="00BC43C6">
        <w:rPr>
          <w:lang w:val="en-US"/>
        </w:rPr>
        <w:t>, but (obviously)</w:t>
      </w:r>
      <w:r w:rsidRPr="00BF27AB">
        <w:rPr>
          <w:lang w:val="en-US"/>
        </w:rPr>
        <w:t xml:space="preserve"> it</w:t>
      </w:r>
      <w:r w:rsidR="00BC43C6">
        <w:rPr>
          <w:lang w:val="en-US"/>
        </w:rPr>
        <w:t xml:space="preserve"> is showed</w:t>
      </w:r>
      <w:r w:rsidRPr="00BF27AB">
        <w:rPr>
          <w:lang w:val="en-US"/>
        </w:rPr>
        <w:t xml:space="preserve"> differently</w:t>
      </w:r>
      <w:r w:rsidR="00BC43C6">
        <w:rPr>
          <w:lang w:val="en-US"/>
        </w:rPr>
        <w:t>.</w:t>
      </w:r>
      <w:r w:rsidRPr="00BF27AB">
        <w:rPr>
          <w:lang w:val="en-US"/>
        </w:rPr>
        <w:t xml:space="preserve"> </w:t>
      </w:r>
      <w:r w:rsidR="00BC43C6">
        <w:rPr>
          <w:lang w:val="en-US"/>
        </w:rPr>
        <w:t>I</w:t>
      </w:r>
      <w:r w:rsidRPr="00BF27AB">
        <w:rPr>
          <w:lang w:val="en-US"/>
        </w:rPr>
        <w:t>n Mukhina</w:t>
      </w:r>
      <w:r w:rsidR="00BC43C6">
        <w:rPr>
          <w:lang w:val="en-US"/>
        </w:rPr>
        <w:t>’s diary</w:t>
      </w:r>
      <w:r w:rsidRPr="00BF27AB">
        <w:rPr>
          <w:lang w:val="en-US"/>
        </w:rPr>
        <w:t xml:space="preserve"> </w:t>
      </w:r>
      <w:r w:rsidR="00BC43C6">
        <w:rPr>
          <w:lang w:val="en-US"/>
        </w:rPr>
        <w:t xml:space="preserve">it is showed </w:t>
      </w:r>
      <w:r w:rsidR="00DB4281" w:rsidRPr="00DB4281">
        <w:rPr>
          <w:lang w:val="en-US"/>
        </w:rPr>
        <w:t>through literary distancing and emotional instability, while in Ginzburg it appears as a separation between mind and body.</w:t>
      </w:r>
      <w:r w:rsidR="00DD1222">
        <w:rPr>
          <w:lang w:val="en-US"/>
        </w:rPr>
        <w:t xml:space="preserve"> To this psychological landscape, Olga Berggolts add third dimension of splitting, which is agonizing </w:t>
      </w:r>
      <w:r w:rsidR="00DD1222">
        <w:rPr>
          <w:lang w:val="en-US"/>
        </w:rPr>
        <w:lastRenderedPageBreak/>
        <w:t xml:space="preserve">gap between her public role as “voice of Leningrad” and her private “authentic” life filled with endless misfortune. For Berggolts, this split was </w:t>
      </w:r>
      <w:r w:rsidR="00DF6AD1">
        <w:rPr>
          <w:lang w:val="en-US"/>
        </w:rPr>
        <w:t xml:space="preserve">a </w:t>
      </w:r>
      <w:r w:rsidR="00DD1222">
        <w:rPr>
          <w:lang w:val="en-US"/>
        </w:rPr>
        <w:t>consta</w:t>
      </w:r>
      <w:r w:rsidR="00DF6AD1">
        <w:rPr>
          <w:lang w:val="en-US"/>
        </w:rPr>
        <w:t>nt</w:t>
      </w:r>
      <w:r w:rsidR="00DD1222">
        <w:rPr>
          <w:lang w:val="en-US"/>
        </w:rPr>
        <w:t xml:space="preserve"> flight from herself as she consciously divided her identity between professional duty and protection of her inner self, which looked for romantic distraction so not to be crushed by city’s tragedy.</w:t>
      </w:r>
    </w:p>
    <w:p w14:paraId="03A295F4" w14:textId="3B2EF98D" w:rsidR="00BF27AB" w:rsidRDefault="00BF27AB" w:rsidP="00BF27AB">
      <w:pPr>
        <w:spacing w:after="0" w:line="480" w:lineRule="auto"/>
        <w:ind w:firstLine="720"/>
        <w:rPr>
          <w:lang w:val="en-US"/>
        </w:rPr>
      </w:pPr>
      <w:r w:rsidRPr="00BF27AB">
        <w:rPr>
          <w:lang w:val="en-US"/>
        </w:rPr>
        <w:t xml:space="preserve">In Lena Mukhina’s early entries, </w:t>
      </w:r>
      <w:r w:rsidR="00DB4281">
        <w:rPr>
          <w:lang w:val="en-US"/>
        </w:rPr>
        <w:t>we can see</w:t>
      </w:r>
      <w:r w:rsidRPr="00BF27AB">
        <w:rPr>
          <w:lang w:val="en-US"/>
        </w:rPr>
        <w:t xml:space="preserve"> traces of official wartime rhetoric. Her language mirrors the vocabulary of newspapers and radio broadcasts: “Victory will be ours!” and “The enemy will be crushed!”</w:t>
      </w:r>
      <w:r w:rsidR="00DB4281">
        <w:rPr>
          <w:rStyle w:val="ae"/>
          <w:lang w:val="en-US"/>
        </w:rPr>
        <w:footnoteReference w:id="75"/>
      </w:r>
      <w:r w:rsidRPr="00BF27AB">
        <w:rPr>
          <w:lang w:val="en-US"/>
        </w:rPr>
        <w:t xml:space="preserve"> These patriotic outbursts </w:t>
      </w:r>
      <w:r w:rsidR="00DB4281">
        <w:rPr>
          <w:lang w:val="en-US"/>
        </w:rPr>
        <w:t>echoes</w:t>
      </w:r>
      <w:r w:rsidRPr="00BF27AB">
        <w:rPr>
          <w:lang w:val="en-US"/>
        </w:rPr>
        <w:t xml:space="preserve"> the </w:t>
      </w:r>
      <w:r w:rsidR="00DB4281">
        <w:rPr>
          <w:lang w:val="en-US"/>
        </w:rPr>
        <w:t>rhythm</w:t>
      </w:r>
      <w:r w:rsidRPr="00BF27AB">
        <w:rPr>
          <w:lang w:val="en-US"/>
        </w:rPr>
        <w:t xml:space="preserve"> of Soviet public discourse. At this stage, ideological language provides coherence. It situates individual suffering within collective purpose.</w:t>
      </w:r>
    </w:p>
    <w:p w14:paraId="0F5F60C6" w14:textId="47D33BDA" w:rsidR="00BF27AB" w:rsidRPr="00DB4281" w:rsidRDefault="00DB4281" w:rsidP="00DB4281">
      <w:pPr>
        <w:spacing w:after="0" w:line="480" w:lineRule="auto"/>
        <w:ind w:left="709"/>
        <w:rPr>
          <w:lang w:val="ru-RU"/>
        </w:rPr>
      </w:pPr>
      <w:r w:rsidRPr="00A564E6">
        <w:rPr>
          <w:lang w:val="ru-RU"/>
        </w:rPr>
        <w:t>“</w:t>
      </w:r>
      <w:r w:rsidRPr="00DB4281">
        <w:rPr>
          <w:i/>
          <w:iCs/>
          <w:lang w:val="ru-RU"/>
        </w:rPr>
        <w:t>Англия</w:t>
      </w:r>
      <w:r w:rsidRPr="00A564E6">
        <w:rPr>
          <w:i/>
          <w:iCs/>
          <w:lang w:val="ru-RU"/>
        </w:rPr>
        <w:t xml:space="preserve"> </w:t>
      </w:r>
      <w:r w:rsidRPr="00DB4281">
        <w:rPr>
          <w:i/>
          <w:iCs/>
          <w:lang w:val="ru-RU"/>
        </w:rPr>
        <w:t>и</w:t>
      </w:r>
      <w:r w:rsidRPr="00A564E6">
        <w:rPr>
          <w:i/>
          <w:iCs/>
          <w:lang w:val="ru-RU"/>
        </w:rPr>
        <w:t xml:space="preserve"> </w:t>
      </w:r>
      <w:r w:rsidRPr="00DB4281">
        <w:rPr>
          <w:i/>
          <w:iCs/>
          <w:lang w:val="ru-RU"/>
        </w:rPr>
        <w:t>США</w:t>
      </w:r>
      <w:r w:rsidRPr="00A564E6">
        <w:rPr>
          <w:i/>
          <w:iCs/>
          <w:lang w:val="ru-RU"/>
        </w:rPr>
        <w:t xml:space="preserve"> </w:t>
      </w:r>
      <w:r w:rsidRPr="00DB4281">
        <w:rPr>
          <w:i/>
          <w:iCs/>
          <w:lang w:val="ru-RU"/>
        </w:rPr>
        <w:t>должны</w:t>
      </w:r>
      <w:r w:rsidRPr="00A564E6">
        <w:rPr>
          <w:i/>
          <w:iCs/>
          <w:lang w:val="ru-RU"/>
        </w:rPr>
        <w:t xml:space="preserve"> </w:t>
      </w:r>
      <w:r w:rsidRPr="00DB4281">
        <w:rPr>
          <w:i/>
          <w:iCs/>
          <w:lang w:val="ru-RU"/>
        </w:rPr>
        <w:t>нас</w:t>
      </w:r>
      <w:r w:rsidRPr="00A564E6">
        <w:rPr>
          <w:i/>
          <w:iCs/>
          <w:lang w:val="ru-RU"/>
        </w:rPr>
        <w:t xml:space="preserve"> </w:t>
      </w:r>
      <w:r w:rsidRPr="00DB4281">
        <w:rPr>
          <w:i/>
          <w:iCs/>
          <w:lang w:val="ru-RU"/>
        </w:rPr>
        <w:t>подкармливать</w:t>
      </w:r>
      <w:r w:rsidRPr="00A564E6">
        <w:rPr>
          <w:i/>
          <w:iCs/>
          <w:lang w:val="ru-RU"/>
        </w:rPr>
        <w:t xml:space="preserve">. </w:t>
      </w:r>
      <w:r w:rsidRPr="00DB4281">
        <w:rPr>
          <w:i/>
          <w:iCs/>
          <w:lang w:val="ru-RU"/>
        </w:rPr>
        <w:t>Ведь это в их интересах, чтобы немцы потерпели поражение под Ленинградом. Ведь победа под Ленинградом — это самая лучшая помощь Москве. А разгром немцев под Москвой приблизит дни, когда свершится перелом в ходе этой исторической войны, а именно начнется отступление врага. Но скорей бы, скорей бы это было. Каждый день несет надежды о прорыве вражеского кольца вокруг Ленинграда</w:t>
      </w:r>
      <w:r w:rsidRPr="00DB4281">
        <w:rPr>
          <w:lang w:val="ru-RU"/>
        </w:rPr>
        <w:t>.”</w:t>
      </w:r>
      <w:r w:rsidR="00BF27AB" w:rsidRPr="00DB4281">
        <w:rPr>
          <w:lang w:val="ru-RU"/>
        </w:rPr>
        <w:t xml:space="preserve"> </w:t>
      </w:r>
    </w:p>
    <w:p w14:paraId="59104912" w14:textId="2CE29125" w:rsidR="00BF27AB" w:rsidRPr="00BF27AB" w:rsidRDefault="00BF27AB" w:rsidP="00BF27AB">
      <w:pPr>
        <w:spacing w:after="0" w:line="480" w:lineRule="auto"/>
        <w:ind w:firstLine="720"/>
        <w:rPr>
          <w:lang w:val="en-US"/>
        </w:rPr>
      </w:pPr>
      <w:r w:rsidRPr="00BF27AB">
        <w:rPr>
          <w:lang w:val="en-US"/>
        </w:rPr>
        <w:t xml:space="preserve">However, as famine </w:t>
      </w:r>
      <w:r w:rsidR="00DB4281">
        <w:rPr>
          <w:lang w:val="en-US"/>
        </w:rPr>
        <w:t xml:space="preserve">gets worse </w:t>
      </w:r>
      <w:r w:rsidRPr="00BF27AB">
        <w:rPr>
          <w:lang w:val="en-US"/>
        </w:rPr>
        <w:t>during the winter of 1941–</w:t>
      </w:r>
      <w:r w:rsidR="00DB4281">
        <w:rPr>
          <w:lang w:val="en-US"/>
        </w:rPr>
        <w:t>19</w:t>
      </w:r>
      <w:r w:rsidRPr="00BF27AB">
        <w:rPr>
          <w:lang w:val="en-US"/>
        </w:rPr>
        <w:t>42, this rhetoric recedes. Hunger flattens ideological enthusiasm. Entries grow shorter, more repetitive, increasingly centered on bread and physical weakness.</w:t>
      </w:r>
      <w:r w:rsidR="00DB4281">
        <w:rPr>
          <w:rStyle w:val="ae"/>
          <w:lang w:val="en-US"/>
        </w:rPr>
        <w:footnoteReference w:id="76"/>
      </w:r>
      <w:r w:rsidRPr="00BF27AB">
        <w:rPr>
          <w:lang w:val="en-US"/>
        </w:rPr>
        <w:t xml:space="preserve"> The earlier tone of heroic anticipation dissolves into monotony. Alexis Peri observes that many siege diarists began the war with patriotic certainty but gradually shifted </w:t>
      </w:r>
      <w:r w:rsidR="009D45EF">
        <w:rPr>
          <w:lang w:val="en-US"/>
        </w:rPr>
        <w:t>it</w:t>
      </w:r>
      <w:r w:rsidRPr="00BF27AB">
        <w:rPr>
          <w:lang w:val="en-US"/>
        </w:rPr>
        <w:t xml:space="preserve"> and bodily concerns as starvation </w:t>
      </w:r>
      <w:r w:rsidR="009D45EF">
        <w:rPr>
          <w:lang w:val="en-US"/>
        </w:rPr>
        <w:t xml:space="preserve">and cold winter </w:t>
      </w:r>
      <w:r w:rsidRPr="00BF27AB">
        <w:rPr>
          <w:lang w:val="en-US"/>
        </w:rPr>
        <w:t>narrowed their horizons.</w:t>
      </w:r>
      <w:r w:rsidR="009D45EF">
        <w:rPr>
          <w:rStyle w:val="ae"/>
          <w:lang w:val="en-US"/>
        </w:rPr>
        <w:footnoteReference w:id="77"/>
      </w:r>
      <w:r w:rsidRPr="00BF27AB">
        <w:rPr>
          <w:lang w:val="en-US"/>
        </w:rPr>
        <w:t xml:space="preserve"> In Lena’s case, the transition is particularly visible</w:t>
      </w:r>
      <w:r w:rsidR="009D45EF">
        <w:rPr>
          <w:lang w:val="en-US"/>
        </w:rPr>
        <w:t>,</w:t>
      </w:r>
      <w:r w:rsidRPr="00BF27AB">
        <w:rPr>
          <w:lang w:val="en-US"/>
        </w:rPr>
        <w:t xml:space="preserve"> politics gives way to physiology</w:t>
      </w:r>
      <w:r w:rsidR="009D45EF">
        <w:rPr>
          <w:lang w:val="en-US"/>
        </w:rPr>
        <w:t>:</w:t>
      </w:r>
    </w:p>
    <w:p w14:paraId="60D019C5" w14:textId="527B2553" w:rsidR="00BF27AB" w:rsidRPr="009D45EF" w:rsidRDefault="009D45EF" w:rsidP="009D45EF">
      <w:pPr>
        <w:spacing w:after="0" w:line="480" w:lineRule="auto"/>
        <w:ind w:left="851"/>
        <w:rPr>
          <w:lang w:val="ru-RU"/>
        </w:rPr>
      </w:pPr>
      <w:r w:rsidRPr="009D45EF">
        <w:rPr>
          <w:lang w:val="ru-RU"/>
        </w:rPr>
        <w:lastRenderedPageBreak/>
        <w:t>“</w:t>
      </w:r>
      <w:r w:rsidRPr="009D45EF">
        <w:rPr>
          <w:i/>
          <w:iCs/>
          <w:lang w:val="ru-RU"/>
        </w:rPr>
        <w:t>Разговоры, мечты о том, что я буду достойна звания Советского гражданина, все пустая болтовня. Первые же испытания на моем пути сломили меня, согнули. Я сдалась. Я тряпка. Трудности испугали меня. Я кутаюсь в сто одежек и ничего не делаю, зря ем хлеб и только ною — холодно, холодно</w:t>
      </w:r>
      <w:r w:rsidRPr="009D45EF">
        <w:rPr>
          <w:lang w:val="ru-RU"/>
        </w:rPr>
        <w:t>.”</w:t>
      </w:r>
    </w:p>
    <w:p w14:paraId="113422CB" w14:textId="66432871" w:rsidR="00BF27AB" w:rsidRPr="00BF27AB" w:rsidRDefault="00BF27AB" w:rsidP="009D45EF">
      <w:pPr>
        <w:spacing w:after="0" w:line="480" w:lineRule="auto"/>
        <w:ind w:firstLine="720"/>
        <w:rPr>
          <w:lang w:val="en-US"/>
        </w:rPr>
      </w:pPr>
      <w:r w:rsidRPr="00BF27AB">
        <w:rPr>
          <w:lang w:val="en-US"/>
        </w:rPr>
        <w:t xml:space="preserve">This emotional fluctuation reflects not hypocrisy but psychic strain. Trauma theory helps clarify this instability. Cathy Caruth argues that traumatic experience disrupts coherent temporal perception, </w:t>
      </w:r>
      <w:r w:rsidR="009D45EF">
        <w:rPr>
          <w:lang w:val="en-US"/>
        </w:rPr>
        <w:t xml:space="preserve">and it </w:t>
      </w:r>
      <w:r w:rsidRPr="00BF27AB">
        <w:rPr>
          <w:lang w:val="en-US"/>
        </w:rPr>
        <w:t>produc</w:t>
      </w:r>
      <w:r w:rsidR="009D45EF">
        <w:rPr>
          <w:lang w:val="en-US"/>
        </w:rPr>
        <w:t xml:space="preserve">ed </w:t>
      </w:r>
      <w:r w:rsidRPr="00BF27AB">
        <w:rPr>
          <w:lang w:val="en-US"/>
        </w:rPr>
        <w:t>oscillations between overwhelming affect and emotional numbness. Lena’s diary registers both extremes. There are moments of fervent hope, followed by entries saturated with despair: “I feel nothing,” she writes at one point, describing a state of apathy</w:t>
      </w:r>
      <w:r w:rsidR="009D45EF">
        <w:rPr>
          <w:lang w:val="en-US"/>
        </w:rPr>
        <w:t>.</w:t>
      </w:r>
      <w:r w:rsidR="009D45EF">
        <w:rPr>
          <w:rStyle w:val="ae"/>
          <w:lang w:val="en-US"/>
        </w:rPr>
        <w:footnoteReference w:id="78"/>
      </w:r>
      <w:r w:rsidR="009D45EF">
        <w:rPr>
          <w:lang w:val="en-US"/>
        </w:rPr>
        <w:t xml:space="preserve"> </w:t>
      </w:r>
      <w:r w:rsidR="009D45EF" w:rsidRPr="009D45EF">
        <w:rPr>
          <w:lang w:val="en-US"/>
        </w:rPr>
        <w:t>Emotional instability becomes a symptom of psychological</w:t>
      </w:r>
      <w:r w:rsidR="009D45EF">
        <w:rPr>
          <w:lang w:val="en-US"/>
        </w:rPr>
        <w:t xml:space="preserve"> overstimulation</w:t>
      </w:r>
      <w:r w:rsidRPr="00BF27AB">
        <w:rPr>
          <w:lang w:val="en-US"/>
        </w:rPr>
        <w:t xml:space="preserve"> </w:t>
      </w:r>
    </w:p>
    <w:p w14:paraId="51ED13C9" w14:textId="25751921" w:rsidR="00BF27AB" w:rsidRPr="00BF27AB" w:rsidRDefault="00BF27AB" w:rsidP="00FE4924">
      <w:pPr>
        <w:spacing w:after="0" w:line="480" w:lineRule="auto"/>
        <w:ind w:firstLine="720"/>
        <w:rPr>
          <w:lang w:val="en-US"/>
        </w:rPr>
      </w:pPr>
      <w:r w:rsidRPr="00BF27AB">
        <w:rPr>
          <w:lang w:val="en-US"/>
        </w:rPr>
        <w:t xml:space="preserve">The most striking </w:t>
      </w:r>
      <w:r w:rsidR="009D45EF">
        <w:rPr>
          <w:lang w:val="en-US"/>
        </w:rPr>
        <w:t xml:space="preserve">example </w:t>
      </w:r>
      <w:r w:rsidRPr="00BF27AB">
        <w:rPr>
          <w:lang w:val="en-US"/>
        </w:rPr>
        <w:t>of this instability appears on April 30, 1942, when Lena begins writing in the third person.</w:t>
      </w:r>
      <w:r w:rsidR="009D45EF">
        <w:rPr>
          <w:rStyle w:val="ae"/>
          <w:lang w:val="en-US"/>
        </w:rPr>
        <w:footnoteReference w:id="79"/>
      </w:r>
      <w:r w:rsidRPr="00BF27AB">
        <w:rPr>
          <w:lang w:val="en-US"/>
        </w:rPr>
        <w:t xml:space="preserve"> She </w:t>
      </w:r>
      <w:r w:rsidR="009D45EF">
        <w:rPr>
          <w:lang w:val="en-US"/>
        </w:rPr>
        <w:t>wrote that</w:t>
      </w:r>
      <w:r w:rsidRPr="00BF27AB">
        <w:rPr>
          <w:lang w:val="en-US"/>
        </w:rPr>
        <w:t xml:space="preserve"> her intention </w:t>
      </w:r>
      <w:r w:rsidR="009D45EF">
        <w:rPr>
          <w:lang w:val="en-US"/>
        </w:rPr>
        <w:t xml:space="preserve">is </w:t>
      </w:r>
      <w:r w:rsidRPr="00BF27AB">
        <w:rPr>
          <w:lang w:val="en-US"/>
        </w:rPr>
        <w:t>to frame her life as a “novella” to be read as literary narrative. This formal shift marks decisive transformation in the diary’s structure. By narrating herself as a character</w:t>
      </w:r>
      <w:r w:rsidR="009D45EF">
        <w:rPr>
          <w:lang w:val="en-US"/>
        </w:rPr>
        <w:t xml:space="preserve">, </w:t>
      </w:r>
      <w:r w:rsidRPr="00BF27AB">
        <w:rPr>
          <w:lang w:val="en-US"/>
        </w:rPr>
        <w:t>“she” rather than “I”</w:t>
      </w:r>
      <w:r w:rsidR="009D45EF">
        <w:rPr>
          <w:lang w:val="en-US"/>
        </w:rPr>
        <w:t xml:space="preserve">, </w:t>
      </w:r>
      <w:r w:rsidRPr="00BF27AB">
        <w:rPr>
          <w:lang w:val="en-US"/>
        </w:rPr>
        <w:t>Lena creates distance between consciousness and experience. This move is not aesthetic experimentation for its own sake. It functions as dissociation</w:t>
      </w:r>
      <w:r w:rsidR="009D45EF">
        <w:rPr>
          <w:lang w:val="en-US"/>
        </w:rPr>
        <w:t>, because b</w:t>
      </w:r>
      <w:r w:rsidRPr="00BF27AB">
        <w:rPr>
          <w:lang w:val="en-US"/>
        </w:rPr>
        <w:t>y transforming the suffering subject into an object of narration, Lena relocates trauma into story. The starving girl becomes someone observed rather than someone endured. Peri argues that such literary framing allowed diarists to survive by preserving interior autonomy</w:t>
      </w:r>
      <w:r w:rsidR="009D45EF">
        <w:rPr>
          <w:lang w:val="en-US"/>
        </w:rPr>
        <w:t>, so</w:t>
      </w:r>
      <w:r w:rsidRPr="00BF27AB">
        <w:rPr>
          <w:lang w:val="en-US"/>
        </w:rPr>
        <w:t xml:space="preserve"> storytelling reasserted control over chaotic reality.</w:t>
      </w:r>
      <w:r w:rsidR="009D45EF">
        <w:rPr>
          <w:rStyle w:val="ae"/>
          <w:lang w:val="en-US"/>
        </w:rPr>
        <w:footnoteReference w:id="80"/>
      </w:r>
      <w:r w:rsidR="00FE4924">
        <w:rPr>
          <w:lang w:val="en-US"/>
        </w:rPr>
        <w:t xml:space="preserve"> </w:t>
      </w:r>
      <w:r w:rsidRPr="00BF27AB">
        <w:rPr>
          <w:lang w:val="en-US"/>
        </w:rPr>
        <w:t xml:space="preserve">Yet this distancing is incomplete. The third-person passages often </w:t>
      </w:r>
      <w:r w:rsidR="009D45EF">
        <w:rPr>
          <w:lang w:val="en-US"/>
        </w:rPr>
        <w:t>come</w:t>
      </w:r>
      <w:r w:rsidRPr="00BF27AB">
        <w:rPr>
          <w:lang w:val="en-US"/>
        </w:rPr>
        <w:t xml:space="preserve"> back toward confession, </w:t>
      </w:r>
      <w:r w:rsidR="009D45EF">
        <w:rPr>
          <w:lang w:val="en-US"/>
        </w:rPr>
        <w:t xml:space="preserve">and these pages </w:t>
      </w:r>
      <w:r w:rsidRPr="00BF27AB">
        <w:rPr>
          <w:lang w:val="en-US"/>
        </w:rPr>
        <w:t>reveal fragility of the narrative shield. Th</w:t>
      </w:r>
      <w:r w:rsidR="004F02C6">
        <w:rPr>
          <w:lang w:val="en-US"/>
        </w:rPr>
        <w:t>is</w:t>
      </w:r>
      <w:r w:rsidRPr="00BF27AB">
        <w:rPr>
          <w:lang w:val="en-US"/>
        </w:rPr>
        <w:t xml:space="preserve"> </w:t>
      </w:r>
      <w:r w:rsidRPr="00BF27AB">
        <w:rPr>
          <w:lang w:val="en-US"/>
        </w:rPr>
        <w:lastRenderedPageBreak/>
        <w:t>“novella” cannot fully</w:t>
      </w:r>
      <w:r w:rsidR="004F02C6">
        <w:rPr>
          <w:lang w:val="en-US"/>
        </w:rPr>
        <w:t xml:space="preserve"> hold back</w:t>
      </w:r>
      <w:r w:rsidRPr="00BF27AB">
        <w:rPr>
          <w:lang w:val="en-US"/>
        </w:rPr>
        <w:t xml:space="preserve"> the body’s demands. </w:t>
      </w:r>
      <w:r w:rsidR="004F02C6" w:rsidRPr="004F02C6">
        <w:rPr>
          <w:lang w:val="en-US"/>
        </w:rPr>
        <w:t>Hunger interrupts the literary construction</w:t>
      </w:r>
      <w:r w:rsidR="004F02C6">
        <w:rPr>
          <w:lang w:val="en-US"/>
        </w:rPr>
        <w:t>, and her</w:t>
      </w:r>
      <w:r w:rsidR="004F02C6" w:rsidRPr="004F02C6">
        <w:rPr>
          <w:lang w:val="en-US"/>
        </w:rPr>
        <w:t xml:space="preserve"> diary becomes a place where fragmentation is both carried out and controlled.</w:t>
      </w:r>
    </w:p>
    <w:p w14:paraId="0F1CDE4A" w14:textId="594331C9" w:rsidR="00BF27AB" w:rsidRPr="003B5A62" w:rsidRDefault="004F02C6" w:rsidP="00BF27AB">
      <w:pPr>
        <w:spacing w:after="0" w:line="480" w:lineRule="auto"/>
        <w:ind w:firstLine="720"/>
        <w:rPr>
          <w:lang w:val="ru-RU"/>
        </w:rPr>
      </w:pPr>
      <w:r w:rsidRPr="004F02C6">
        <w:rPr>
          <w:lang w:val="en-US"/>
        </w:rPr>
        <w:t>If Mukhina’s split is narrative and emotional, Ginzburg describes a more fundamental division between mind and body</w:t>
      </w:r>
      <w:r w:rsidR="00BF27AB" w:rsidRPr="00BF27AB">
        <w:rPr>
          <w:lang w:val="en-US"/>
        </w:rPr>
        <w:t xml:space="preserve">. In </w:t>
      </w:r>
      <w:r w:rsidR="00BF27AB" w:rsidRPr="004F02C6">
        <w:rPr>
          <w:i/>
          <w:iCs/>
          <w:lang w:val="en-US"/>
        </w:rPr>
        <w:t>The Blockade Person</w:t>
      </w:r>
      <w:r w:rsidR="00BF27AB" w:rsidRPr="00BF27AB">
        <w:rPr>
          <w:lang w:val="en-US"/>
        </w:rPr>
        <w:t xml:space="preserve"> she describes the starving body as an “outpost of the hostile world”</w:t>
      </w:r>
      <w:r>
        <w:rPr>
          <w:lang w:val="en-US"/>
        </w:rPr>
        <w:t xml:space="preserve">, </w:t>
      </w:r>
      <w:r w:rsidR="00BF27AB" w:rsidRPr="00BF27AB">
        <w:rPr>
          <w:lang w:val="en-US"/>
        </w:rPr>
        <w:t>something alien, no longer fully integrated into selfhood.</w:t>
      </w:r>
      <w:r>
        <w:rPr>
          <w:rStyle w:val="ae"/>
          <w:lang w:val="en-US"/>
        </w:rPr>
        <w:footnoteReference w:id="81"/>
      </w:r>
      <w:r w:rsidR="00BF27AB" w:rsidRPr="00BF27AB">
        <w:rPr>
          <w:lang w:val="en-US"/>
        </w:rPr>
        <w:t>The body becomes a machine requiring conscious instruction. Otter (</w:t>
      </w:r>
      <w:r>
        <w:rPr>
          <w:lang w:val="en-US"/>
        </w:rPr>
        <w:t>alter ego</w:t>
      </w:r>
      <w:r w:rsidR="00BF27AB" w:rsidRPr="00BF27AB">
        <w:rPr>
          <w:lang w:val="en-US"/>
        </w:rPr>
        <w:t>) describes dragging himself forward, mentally commanding knees to bend and feet to lift.</w:t>
      </w:r>
      <w:r>
        <w:rPr>
          <w:rStyle w:val="ae"/>
          <w:lang w:val="en-US"/>
        </w:rPr>
        <w:footnoteReference w:id="82"/>
      </w:r>
      <w:r w:rsidR="00BF27AB" w:rsidRPr="00BF27AB">
        <w:rPr>
          <w:lang w:val="en-US"/>
        </w:rPr>
        <w:t xml:space="preserve"> Movement</w:t>
      </w:r>
      <w:r w:rsidRPr="003B5A62">
        <w:rPr>
          <w:lang w:val="ru-RU"/>
        </w:rPr>
        <w:t xml:space="preserve"> </w:t>
      </w:r>
      <w:r>
        <w:rPr>
          <w:lang w:val="en-US"/>
        </w:rPr>
        <w:t>that</w:t>
      </w:r>
      <w:r w:rsidRPr="003B5A62">
        <w:rPr>
          <w:lang w:val="ru-RU"/>
        </w:rPr>
        <w:t xml:space="preserve"> </w:t>
      </w:r>
      <w:r>
        <w:rPr>
          <w:lang w:val="en-US"/>
        </w:rPr>
        <w:t>was</w:t>
      </w:r>
      <w:r w:rsidR="00BF27AB" w:rsidRPr="003B5A62">
        <w:rPr>
          <w:lang w:val="ru-RU"/>
        </w:rPr>
        <w:t xml:space="preserve"> </w:t>
      </w:r>
      <w:r w:rsidR="00BF27AB" w:rsidRPr="00BF27AB">
        <w:rPr>
          <w:lang w:val="en-US"/>
        </w:rPr>
        <w:t>once</w:t>
      </w:r>
      <w:r w:rsidR="00BF27AB" w:rsidRPr="003B5A62">
        <w:rPr>
          <w:lang w:val="ru-RU"/>
        </w:rPr>
        <w:t xml:space="preserve"> </w:t>
      </w:r>
      <w:r w:rsidR="00BF27AB" w:rsidRPr="00BF27AB">
        <w:rPr>
          <w:lang w:val="en-US"/>
        </w:rPr>
        <w:t>automatic</w:t>
      </w:r>
      <w:r w:rsidR="00BF27AB" w:rsidRPr="003B5A62">
        <w:rPr>
          <w:lang w:val="ru-RU"/>
        </w:rPr>
        <w:t xml:space="preserve">, </w:t>
      </w:r>
      <w:r w:rsidR="00BF27AB" w:rsidRPr="00BF27AB">
        <w:rPr>
          <w:lang w:val="en-US"/>
        </w:rPr>
        <w:t>now</w:t>
      </w:r>
      <w:r w:rsidR="00BF27AB" w:rsidRPr="003B5A62">
        <w:rPr>
          <w:lang w:val="ru-RU"/>
        </w:rPr>
        <w:t xml:space="preserve"> </w:t>
      </w:r>
      <w:r w:rsidR="00BF27AB" w:rsidRPr="00BF27AB">
        <w:rPr>
          <w:lang w:val="en-US"/>
        </w:rPr>
        <w:t>requires</w:t>
      </w:r>
      <w:r w:rsidR="00BF27AB" w:rsidRPr="003B5A62">
        <w:rPr>
          <w:lang w:val="ru-RU"/>
        </w:rPr>
        <w:t xml:space="preserve"> </w:t>
      </w:r>
      <w:r w:rsidR="00BF27AB" w:rsidRPr="00BF27AB">
        <w:rPr>
          <w:lang w:val="en-US"/>
        </w:rPr>
        <w:t>deliberate</w:t>
      </w:r>
      <w:r w:rsidR="00BF27AB" w:rsidRPr="003B5A62">
        <w:rPr>
          <w:lang w:val="ru-RU"/>
        </w:rPr>
        <w:t xml:space="preserve"> </w:t>
      </w:r>
      <w:r w:rsidR="00BF27AB" w:rsidRPr="00BF27AB">
        <w:rPr>
          <w:lang w:val="en-US"/>
        </w:rPr>
        <w:t>effort</w:t>
      </w:r>
      <w:r w:rsidR="00BF27AB" w:rsidRPr="003B5A62">
        <w:rPr>
          <w:lang w:val="ru-RU"/>
        </w:rPr>
        <w:t>.</w:t>
      </w:r>
    </w:p>
    <w:p w14:paraId="61886F4F" w14:textId="48C306A3" w:rsidR="00BF27AB" w:rsidRPr="00BF27AB" w:rsidRDefault="004F02C6" w:rsidP="004F02C6">
      <w:pPr>
        <w:spacing w:after="0" w:line="480" w:lineRule="auto"/>
        <w:ind w:left="851"/>
        <w:rPr>
          <w:lang w:val="en-US"/>
        </w:rPr>
      </w:pPr>
      <w:r w:rsidRPr="004F02C6">
        <w:rPr>
          <w:lang w:val="ru-RU"/>
        </w:rPr>
        <w:t>“</w:t>
      </w:r>
      <w:r w:rsidRPr="004F02C6">
        <w:rPr>
          <w:i/>
          <w:iCs/>
          <w:lang w:val="ru-RU"/>
        </w:rPr>
        <w:t>Вот я хожу, — говорила она, — то есть это, собственно, ходит мое тело, и надо за ним хорошенько следить. Скажем, я выдвигаю вперед правую ногу, левая отходит назад, упирается на носок и сгибается в колене (как она плохо сгибается в колене!), потом она отрывается от земли, по воздуху движется вперед, опускается, а правая в это время уже успела отойти назад. Черт ее знает! — надо проследить, как она там уходит назад, не то еще можно упасть. Это</w:t>
      </w:r>
      <w:r w:rsidRPr="00FF33AB">
        <w:rPr>
          <w:i/>
          <w:iCs/>
          <w:lang w:val="en-US"/>
        </w:rPr>
        <w:t xml:space="preserve"> </w:t>
      </w:r>
      <w:r w:rsidRPr="004F02C6">
        <w:rPr>
          <w:i/>
          <w:iCs/>
          <w:lang w:val="ru-RU"/>
        </w:rPr>
        <w:t>был</w:t>
      </w:r>
      <w:r w:rsidRPr="00FF33AB">
        <w:rPr>
          <w:i/>
          <w:iCs/>
          <w:lang w:val="en-US"/>
        </w:rPr>
        <w:t xml:space="preserve"> </w:t>
      </w:r>
      <w:r w:rsidRPr="004F02C6">
        <w:rPr>
          <w:i/>
          <w:iCs/>
          <w:lang w:val="ru-RU"/>
        </w:rPr>
        <w:t>преотвратительный</w:t>
      </w:r>
      <w:r w:rsidRPr="00FF33AB">
        <w:rPr>
          <w:i/>
          <w:iCs/>
          <w:lang w:val="en-US"/>
        </w:rPr>
        <w:t xml:space="preserve"> </w:t>
      </w:r>
      <w:r w:rsidRPr="004F02C6">
        <w:rPr>
          <w:i/>
          <w:iCs/>
          <w:lang w:val="ru-RU"/>
        </w:rPr>
        <w:t>урок</w:t>
      </w:r>
      <w:r w:rsidRPr="00FF33AB">
        <w:rPr>
          <w:i/>
          <w:iCs/>
          <w:lang w:val="en-US"/>
        </w:rPr>
        <w:t xml:space="preserve"> </w:t>
      </w:r>
      <w:r w:rsidRPr="004F02C6">
        <w:rPr>
          <w:i/>
          <w:iCs/>
          <w:lang w:val="ru-RU"/>
        </w:rPr>
        <w:t>танцев</w:t>
      </w:r>
      <w:r w:rsidRPr="004F02C6">
        <w:rPr>
          <w:lang w:val="en-US"/>
        </w:rPr>
        <w:t>.</w:t>
      </w:r>
      <w:r>
        <w:rPr>
          <w:lang w:val="en-US"/>
        </w:rPr>
        <w:t>”</w:t>
      </w:r>
    </w:p>
    <w:p w14:paraId="5F3D1584" w14:textId="358769B6" w:rsidR="008F4810" w:rsidRDefault="00BF27AB" w:rsidP="00BF27AB">
      <w:pPr>
        <w:spacing w:after="0" w:line="480" w:lineRule="auto"/>
        <w:ind w:firstLine="720"/>
        <w:rPr>
          <w:lang w:val="en-US"/>
        </w:rPr>
      </w:pPr>
      <w:r w:rsidRPr="00BF27AB">
        <w:rPr>
          <w:lang w:val="en-US"/>
        </w:rPr>
        <w:t xml:space="preserve">This separation between mind and body reflects what Ginzburg calls </w:t>
      </w:r>
      <w:r w:rsidR="002B609B">
        <w:rPr>
          <w:lang w:val="en-US"/>
        </w:rPr>
        <w:t>“</w:t>
      </w:r>
      <w:proofErr w:type="spellStart"/>
      <w:r w:rsidRPr="00BF27AB">
        <w:rPr>
          <w:lang w:val="en-US"/>
        </w:rPr>
        <w:t>otsepenenie</w:t>
      </w:r>
      <w:proofErr w:type="spellEnd"/>
      <w:r w:rsidR="002B609B">
        <w:rPr>
          <w:lang w:val="en-US"/>
        </w:rPr>
        <w:t>”</w:t>
      </w:r>
      <w:r w:rsidR="004F02C6">
        <w:rPr>
          <w:lang w:val="en-US"/>
        </w:rPr>
        <w:t xml:space="preserve"> </w:t>
      </w:r>
      <w:r w:rsidR="002B609B">
        <w:rPr>
          <w:lang w:val="en-US"/>
        </w:rPr>
        <w:t>(</w:t>
      </w:r>
      <w:r w:rsidRPr="00BF27AB">
        <w:rPr>
          <w:lang w:val="en-US"/>
        </w:rPr>
        <w:t xml:space="preserve">stupor or </w:t>
      </w:r>
      <w:r w:rsidR="002B609B">
        <w:rPr>
          <w:lang w:val="en-US"/>
        </w:rPr>
        <w:t>numbness)</w:t>
      </w:r>
      <w:r w:rsidRPr="00BF27AB">
        <w:rPr>
          <w:lang w:val="en-US"/>
        </w:rPr>
        <w:t>.</w:t>
      </w:r>
      <w:r w:rsidR="004F02C6">
        <w:rPr>
          <w:rStyle w:val="ae"/>
          <w:lang w:val="en-US"/>
        </w:rPr>
        <w:footnoteReference w:id="83"/>
      </w:r>
      <w:r w:rsidR="002B609B">
        <w:rPr>
          <w:lang w:val="en-US"/>
        </w:rPr>
        <w:t xml:space="preserve"> </w:t>
      </w:r>
      <w:r w:rsidR="002B609B" w:rsidRPr="002B609B">
        <w:rPr>
          <w:lang w:val="en-US"/>
        </w:rPr>
        <w:t>It is described as critical psychological defense mechanism that arose from the "radical biological reduction" caused by starvation</w:t>
      </w:r>
      <w:r w:rsidR="002B609B">
        <w:rPr>
          <w:lang w:val="en-US"/>
        </w:rPr>
        <w:t>.</w:t>
      </w:r>
      <w:r w:rsidR="002B609B">
        <w:rPr>
          <w:rStyle w:val="ae"/>
          <w:lang w:val="en-US"/>
        </w:rPr>
        <w:footnoteReference w:id="84"/>
      </w:r>
      <w:r w:rsidR="002B609B">
        <w:rPr>
          <w:lang w:val="en-US"/>
        </w:rPr>
        <w:t xml:space="preserve"> </w:t>
      </w:r>
      <w:r w:rsidR="002B609B" w:rsidRPr="002B609B">
        <w:rPr>
          <w:lang w:val="en-US"/>
        </w:rPr>
        <w:t>This state protected people from the horror of corpses primarily by creating a "protective indifference" (</w:t>
      </w:r>
      <w:proofErr w:type="spellStart"/>
      <w:r w:rsidR="002B609B" w:rsidRPr="002B609B">
        <w:rPr>
          <w:lang w:val="en-US"/>
        </w:rPr>
        <w:t>защитное</w:t>
      </w:r>
      <w:proofErr w:type="spellEnd"/>
      <w:r w:rsidR="002B609B" w:rsidRPr="002B609B">
        <w:rPr>
          <w:lang w:val="en-US"/>
        </w:rPr>
        <w:t xml:space="preserve"> </w:t>
      </w:r>
      <w:proofErr w:type="spellStart"/>
      <w:r w:rsidR="002B609B" w:rsidRPr="002B609B">
        <w:rPr>
          <w:lang w:val="en-US"/>
        </w:rPr>
        <w:t>равнодушие</w:t>
      </w:r>
      <w:proofErr w:type="spellEnd"/>
      <w:r w:rsidR="002B609B" w:rsidRPr="002B609B">
        <w:rPr>
          <w:lang w:val="en-US"/>
        </w:rPr>
        <w:t>)</w:t>
      </w:r>
      <w:r w:rsidR="002B609B">
        <w:rPr>
          <w:lang w:val="en-US"/>
        </w:rPr>
        <w:t>.</w:t>
      </w:r>
    </w:p>
    <w:p w14:paraId="7D078471" w14:textId="3971481F" w:rsidR="00DD1222" w:rsidRDefault="00DD1222" w:rsidP="00BF27AB">
      <w:pPr>
        <w:spacing w:after="0" w:line="480" w:lineRule="auto"/>
        <w:ind w:firstLine="720"/>
        <w:rPr>
          <w:lang w:val="en-US"/>
        </w:rPr>
      </w:pPr>
      <w:r>
        <w:rPr>
          <w:lang w:val="en-US"/>
        </w:rPr>
        <w:t>For Olga Berggolts, diary records state “the most painful splitting” (</w:t>
      </w:r>
      <w:r>
        <w:rPr>
          <w:lang w:val="ru-RU"/>
        </w:rPr>
        <w:t>мучительнейшее</w:t>
      </w:r>
      <w:r w:rsidRPr="00DD1222">
        <w:rPr>
          <w:lang w:val="en-US"/>
        </w:rPr>
        <w:t xml:space="preserve"> </w:t>
      </w:r>
      <w:r>
        <w:rPr>
          <w:lang w:val="ru-RU"/>
        </w:rPr>
        <w:t>раздвоение</w:t>
      </w:r>
      <w:r w:rsidRPr="00DD1222">
        <w:rPr>
          <w:lang w:val="en-US"/>
        </w:rPr>
        <w:t>)</w:t>
      </w:r>
      <w:r>
        <w:rPr>
          <w:lang w:val="kk-KZ"/>
        </w:rPr>
        <w:t xml:space="preserve"> </w:t>
      </w:r>
      <w:r>
        <w:rPr>
          <w:lang w:val="en-US"/>
        </w:rPr>
        <w:t xml:space="preserve">that went beyond physical starvation to encompass as total moral and existential </w:t>
      </w:r>
      <w:r>
        <w:rPr>
          <w:lang w:val="en-US"/>
        </w:rPr>
        <w:lastRenderedPageBreak/>
        <w:t>crisis.</w:t>
      </w:r>
      <w:r>
        <w:rPr>
          <w:rStyle w:val="ae"/>
          <w:lang w:val="en-US"/>
        </w:rPr>
        <w:footnoteReference w:id="85"/>
      </w:r>
      <w:r>
        <w:rPr>
          <w:lang w:val="en-US"/>
        </w:rPr>
        <w:t xml:space="preserve"> She describes her life not as linear narrative, but as succession of “flashes” and “short circuits”, a state in which she was no longer whole person, but being “made for war”.</w:t>
      </w:r>
      <w:r w:rsidR="00945242">
        <w:rPr>
          <w:rStyle w:val="ae"/>
          <w:lang w:val="en-US"/>
        </w:rPr>
        <w:footnoteReference w:id="86"/>
      </w:r>
      <w:r w:rsidR="00945242">
        <w:rPr>
          <w:lang w:val="en-US"/>
        </w:rPr>
        <w:t xml:space="preserve"> Her emotional fluctuations were extremely sharp. She records moments when “exhilaration and despair” overwhelmed her at the same time, especially when she faced state’s hypocrisy while her loved ones were dying because of dystrophy. This inner split is most clearly evident in her personal life, she describes her interest in Yuri Makogoneko as “defense mechanism”. Her conscious separated her feelings so that allowed her to “live and die” with her husband Nikolai in her heart, while at the same time seeking distraction in Yuri to keep her mind from breaking.</w:t>
      </w:r>
      <w:r w:rsidR="00822000">
        <w:rPr>
          <w:rStyle w:val="ae"/>
          <w:lang w:val="en-US"/>
        </w:rPr>
        <w:footnoteReference w:id="87"/>
      </w:r>
      <w:r w:rsidR="00822000">
        <w:rPr>
          <w:lang w:val="en-US"/>
        </w:rPr>
        <w:t xml:space="preserve"> She felt shame in this splitting, noting that while she cared for the “Happiness of Humanity” she neglected simple needs for her closes family:</w:t>
      </w:r>
    </w:p>
    <w:p w14:paraId="7E5C56BC" w14:textId="403A6337" w:rsidR="00822000" w:rsidRDefault="003B5A62" w:rsidP="003B5A62">
      <w:pPr>
        <w:spacing w:after="0" w:line="480" w:lineRule="auto"/>
        <w:ind w:left="851"/>
        <w:rPr>
          <w:lang w:val="ru-RU"/>
        </w:rPr>
      </w:pPr>
      <w:r w:rsidRPr="003B5A62">
        <w:rPr>
          <w:lang w:val="ru-RU"/>
        </w:rPr>
        <w:t>“</w:t>
      </w:r>
      <w:r w:rsidRPr="003B5A62">
        <w:rPr>
          <w:i/>
          <w:iCs/>
          <w:lang w:val="ru-RU"/>
        </w:rPr>
        <w:t>Вот, — заботилась всю жизнь о Счастье Человечества, о Родине и т. д., а Колька мой всегда ходил у меня в рваных носках, на мать кричала, и никого, никого из близких, родных, — как следует не обласкала и не согрела, барахтаясь в собственном тщеславии, в теоретическом, в выдуманном...”</w:t>
      </w:r>
    </w:p>
    <w:p w14:paraId="3DEE9160" w14:textId="1851BB71" w:rsidR="003B5A62" w:rsidRDefault="003B5A62" w:rsidP="00FE4924">
      <w:pPr>
        <w:spacing w:after="0" w:line="480" w:lineRule="auto"/>
        <w:ind w:firstLine="720"/>
        <w:rPr>
          <w:lang w:val="en-US"/>
        </w:rPr>
      </w:pPr>
      <w:r>
        <w:rPr>
          <w:lang w:val="en-US"/>
        </w:rPr>
        <w:t>In the end, as her diary reveals she endured this nightmare of blockade by maintaining two parallel realities, and one of them is “heroic myth” she projected onto city. Second parallel is “bottomless misery” of her private self, which viewed blockade as sort of “biblical story” of spiritual change that caused her to feel like living corpse long before war ended.</w:t>
      </w:r>
      <w:r>
        <w:rPr>
          <w:rStyle w:val="ae"/>
          <w:lang w:val="en-US"/>
        </w:rPr>
        <w:footnoteReference w:id="88"/>
      </w:r>
    </w:p>
    <w:p w14:paraId="70857550" w14:textId="10A43636" w:rsidR="003B5A62" w:rsidRPr="003B5A62" w:rsidRDefault="003B5A62" w:rsidP="003B5A62">
      <w:pPr>
        <w:spacing w:after="0" w:line="480" w:lineRule="auto"/>
        <w:rPr>
          <w:b/>
          <w:bCs/>
          <w:lang w:val="en-US"/>
        </w:rPr>
      </w:pPr>
      <w:r w:rsidRPr="003B5A62">
        <w:rPr>
          <w:b/>
          <w:bCs/>
          <w:lang w:val="en-US"/>
        </w:rPr>
        <w:t>Cultural Memory of the Siege</w:t>
      </w:r>
    </w:p>
    <w:p w14:paraId="1FC0218E" w14:textId="61233B58" w:rsidR="003B5A62" w:rsidRDefault="003B5A62" w:rsidP="003B5A62">
      <w:pPr>
        <w:spacing w:after="0" w:line="480" w:lineRule="auto"/>
        <w:rPr>
          <w:lang w:val="en-US"/>
        </w:rPr>
      </w:pPr>
      <w:r>
        <w:rPr>
          <w:lang w:val="en-US"/>
        </w:rPr>
        <w:tab/>
      </w:r>
      <w:r w:rsidR="00D22CAB">
        <w:rPr>
          <w:lang w:val="en-US"/>
        </w:rPr>
        <w:t xml:space="preserve">The history of Siege of Leningrad is not a static record of facts, it is more of a battlefield of competing narratives. As the earlier analysis of diaries of Lena Mukhina, Lydia Ginzburg and Olga Berggolts shows experience of siege was characterized by “radical biological reduction”. However, as the blockade transformed from present day catastrophe </w:t>
      </w:r>
      <w:r w:rsidR="00D22CAB">
        <w:rPr>
          <w:lang w:val="en-US"/>
        </w:rPr>
        <w:lastRenderedPageBreak/>
        <w:t>into an event of past, Soviet state began systematic process of “derealization”.</w:t>
      </w:r>
      <w:r w:rsidR="00D22CAB">
        <w:rPr>
          <w:rStyle w:val="ae"/>
          <w:lang w:val="en-US"/>
        </w:rPr>
        <w:footnoteReference w:id="89"/>
      </w:r>
      <w:r w:rsidR="00D22CAB">
        <w:rPr>
          <w:lang w:val="en-US"/>
        </w:rPr>
        <w:t xml:space="preserve"> Over the next few decades, memories of blockade went through phases of suppression, rehabilitation and mythologization. This section analyzes contradiction between personal experience reflected in diaries and “useful past” constructed by state during key eras, like immediate postwar Stalinist years, Khrushchev Thaw, Late Soviet and Post Soviet times. </w:t>
      </w:r>
    </w:p>
    <w:p w14:paraId="1ED8DBBC" w14:textId="646EE01D" w:rsidR="00D22CAB" w:rsidRPr="00356274" w:rsidRDefault="00D22CAB" w:rsidP="003B5A62">
      <w:pPr>
        <w:spacing w:after="0" w:line="480" w:lineRule="auto"/>
        <w:rPr>
          <w:lang w:val="en-US"/>
        </w:rPr>
      </w:pPr>
      <w:r>
        <w:rPr>
          <w:lang w:val="en-US"/>
        </w:rPr>
        <w:tab/>
      </w:r>
      <w:r w:rsidR="00356274">
        <w:rPr>
          <w:lang w:val="en-US"/>
        </w:rPr>
        <w:t xml:space="preserve">In the years after the victory in 1945, Soviet ideological apparatus began </w:t>
      </w:r>
      <w:r w:rsidR="00356274">
        <w:t>“</w:t>
      </w:r>
      <w:r w:rsidR="00356274" w:rsidRPr="00356274">
        <w:rPr>
          <w:lang w:val="en-US"/>
        </w:rPr>
        <w:t>substitution of Victory for War”</w:t>
      </w:r>
      <w:r w:rsidR="00356274">
        <w:rPr>
          <w:lang w:val="en-US"/>
        </w:rPr>
        <w:t xml:space="preserve"> campaign.</w:t>
      </w:r>
      <w:r w:rsidR="00356274">
        <w:rPr>
          <w:rStyle w:val="ae"/>
          <w:lang w:val="en-US"/>
        </w:rPr>
        <w:footnoteReference w:id="90"/>
      </w:r>
      <w:r w:rsidR="00356274">
        <w:rPr>
          <w:lang w:val="en-US"/>
        </w:rPr>
        <w:t xml:space="preserve"> For Joseph Stalin actual experience of the war had “low ideological coefficient”.</w:t>
      </w:r>
      <w:r w:rsidR="00356274">
        <w:rPr>
          <w:rStyle w:val="ae"/>
          <w:lang w:val="en-US"/>
        </w:rPr>
        <w:footnoteReference w:id="91"/>
      </w:r>
      <w:r w:rsidR="00356274">
        <w:rPr>
          <w:lang w:val="en-US"/>
        </w:rPr>
        <w:t xml:space="preserve"> The reason is that this experience was full of tragic chronicle of catastrophic losses, failed leadership and mass starvation. Instead, state required “history of Victory” which would be coherent narrative of heroic achievement that </w:t>
      </w:r>
      <w:r w:rsidR="00DC5AD8">
        <w:rPr>
          <w:lang w:val="en-US"/>
        </w:rPr>
        <w:t xml:space="preserve">legitimized </w:t>
      </w:r>
      <w:r w:rsidR="00356274">
        <w:rPr>
          <w:lang w:val="en-US"/>
        </w:rPr>
        <w:t>regime’s existence.</w:t>
      </w:r>
      <w:r w:rsidR="00DC5AD8">
        <w:rPr>
          <w:rStyle w:val="ae"/>
          <w:lang w:val="en-US"/>
        </w:rPr>
        <w:footnoteReference w:id="92"/>
      </w:r>
      <w:r w:rsidR="00356274">
        <w:rPr>
          <w:lang w:val="en-US"/>
        </w:rPr>
        <w:t xml:space="preserve"> </w:t>
      </w:r>
      <w:r w:rsidR="00DC5AD8">
        <w:rPr>
          <w:lang w:val="en-US"/>
        </w:rPr>
        <w:t>In this context, specifically Leningrad theme was deviation. Since the siege was story of communal survival in isolation and it threatened centralized cult of Stalin’s military genius.</w:t>
      </w:r>
      <w:r w:rsidR="00DC5AD8">
        <w:rPr>
          <w:rStyle w:val="ae"/>
          <w:lang w:val="en-US"/>
        </w:rPr>
        <w:footnoteReference w:id="93"/>
      </w:r>
    </w:p>
    <w:p w14:paraId="01A1F550" w14:textId="6D12C384" w:rsidR="005C7FEB" w:rsidRDefault="003F0A79" w:rsidP="003F0A79">
      <w:pPr>
        <w:tabs>
          <w:tab w:val="left" w:pos="8236"/>
        </w:tabs>
        <w:spacing w:after="0" w:line="480" w:lineRule="auto"/>
        <w:ind w:firstLine="720"/>
        <w:rPr>
          <w:lang w:val="en-US"/>
        </w:rPr>
      </w:pPr>
      <w:r>
        <w:rPr>
          <w:lang w:val="en-US"/>
        </w:rPr>
        <w:t>Official memory in the late 1940s was structured by “ban on tragedy”.</w:t>
      </w:r>
      <w:r>
        <w:rPr>
          <w:rStyle w:val="ae"/>
          <w:lang w:val="en-US"/>
        </w:rPr>
        <w:footnoteReference w:id="94"/>
      </w:r>
      <w:r>
        <w:rPr>
          <w:lang w:val="en-US"/>
        </w:rPr>
        <w:t xml:space="preserve"> The blockade was framed only through terms of heroic endurance, military patriotism and unity. The “tinsel-covered triumph” required that actual details of famine, like cannibalism, dystrophy, and total collapse of moral norms, be </w:t>
      </w:r>
      <w:r w:rsidR="00FE4924">
        <w:rPr>
          <w:lang w:val="en-US"/>
        </w:rPr>
        <w:t>strictly</w:t>
      </w:r>
      <w:r>
        <w:rPr>
          <w:lang w:val="en-US"/>
        </w:rPr>
        <w:t xml:space="preserve"> suppressed.</w:t>
      </w:r>
      <w:r>
        <w:rPr>
          <w:rStyle w:val="ae"/>
          <w:lang w:val="en-US"/>
        </w:rPr>
        <w:footnoteReference w:id="95"/>
      </w:r>
      <w:r>
        <w:rPr>
          <w:lang w:val="en-US"/>
        </w:rPr>
        <w:t xml:space="preserve"> In official version, every citizen was “heroic defender” and civilian suffering was merely background texture to highlight “unshakable will” of Soviet person.</w:t>
      </w:r>
      <w:r w:rsidR="005C7FEB">
        <w:rPr>
          <w:rStyle w:val="ae"/>
          <w:lang w:val="en-US"/>
        </w:rPr>
        <w:footnoteReference w:id="96"/>
      </w:r>
    </w:p>
    <w:p w14:paraId="39180406" w14:textId="5E3FBEDC" w:rsidR="00C96649" w:rsidRDefault="005C7FEB" w:rsidP="00C96649">
      <w:pPr>
        <w:tabs>
          <w:tab w:val="left" w:pos="8236"/>
        </w:tabs>
        <w:spacing w:after="0" w:line="480" w:lineRule="auto"/>
        <w:ind w:firstLine="720"/>
        <w:rPr>
          <w:lang w:val="en-US"/>
        </w:rPr>
      </w:pPr>
      <w:r>
        <w:rPr>
          <w:lang w:val="en-US"/>
        </w:rPr>
        <w:lastRenderedPageBreak/>
        <w:t>The most violent example of this forced erasure was Leningrad Affair (1949-1953). Stalin was suspicious of “unique blockade fate” claimed by Leningrad’s leaders</w:t>
      </w:r>
      <w:r w:rsidR="00FE4924">
        <w:rPr>
          <w:lang w:val="en-US"/>
        </w:rPr>
        <w:t xml:space="preserve">. </w:t>
      </w:r>
      <w:r>
        <w:rPr>
          <w:lang w:val="en-US"/>
        </w:rPr>
        <w:t>This political terror was accompanied by direct assault on cultural memory. The Museum of the Heroic Defense of Leningrad that opened in 1944 and attracted over a million visitors, was closed and liquidated.</w:t>
      </w:r>
      <w:r>
        <w:rPr>
          <w:rStyle w:val="ae"/>
          <w:lang w:val="en-US"/>
        </w:rPr>
        <w:footnoteReference w:id="97"/>
      </w:r>
      <w:r>
        <w:rPr>
          <w:lang w:val="en-US"/>
        </w:rPr>
        <w:t xml:space="preserve"> The museum was criticized for creating “myth of Leningrad’s special fate” and “minimizing the role of the great Stalin”.</w:t>
      </w:r>
      <w:r w:rsidR="00C96649">
        <w:rPr>
          <w:rStyle w:val="ae"/>
          <w:lang w:val="en-US"/>
        </w:rPr>
        <w:footnoteReference w:id="98"/>
      </w:r>
      <w:r w:rsidR="00C96649">
        <w:rPr>
          <w:lang w:val="en-US"/>
        </w:rPr>
        <w:t xml:space="preserve"> Its collection consisted of thousand artifacts including Tania Savicheva’s diary and the 125-gram bread ration. All of this artifacts were scattered or destroyed (Lisa K. book (so many footnotes, </w:t>
      </w:r>
      <w:proofErr w:type="spellStart"/>
      <w:r w:rsidR="00C96649">
        <w:rPr>
          <w:lang w:val="en-US"/>
        </w:rPr>
        <w:t>im</w:t>
      </w:r>
      <w:proofErr w:type="spellEnd"/>
      <w:r w:rsidR="00C96649">
        <w:rPr>
          <w:lang w:val="en-US"/>
        </w:rPr>
        <w:t xml:space="preserve"> sorry)). The warning signs on </w:t>
      </w:r>
      <w:proofErr w:type="spellStart"/>
      <w:r w:rsidR="00C96649">
        <w:rPr>
          <w:lang w:val="en-US"/>
        </w:rPr>
        <w:t>Nevskii</w:t>
      </w:r>
      <w:proofErr w:type="spellEnd"/>
      <w:r w:rsidR="00C96649">
        <w:rPr>
          <w:lang w:val="en-US"/>
        </w:rPr>
        <w:t xml:space="preserve"> Prospect were painted over, and very word “blockade” was erased from official histories for a nearly decade (Lisa K. and Alexis P.) Trauma was not processed, it was controlled through “annihilation of the material carrier of memory” (</w:t>
      </w:r>
      <w:proofErr w:type="spellStart"/>
      <w:r w:rsidR="00C96649" w:rsidRPr="00C96649">
        <w:rPr>
          <w:lang w:val="en-US"/>
        </w:rPr>
        <w:t>Уничтожение</w:t>
      </w:r>
      <w:proofErr w:type="spellEnd"/>
      <w:r w:rsidR="00C96649" w:rsidRPr="00C96649">
        <w:rPr>
          <w:lang w:val="en-US"/>
        </w:rPr>
        <w:t xml:space="preserve"> </w:t>
      </w:r>
      <w:proofErr w:type="spellStart"/>
      <w:r w:rsidR="00C96649" w:rsidRPr="00C96649">
        <w:rPr>
          <w:lang w:val="en-US"/>
        </w:rPr>
        <w:t>материального</w:t>
      </w:r>
      <w:proofErr w:type="spellEnd"/>
      <w:r w:rsidR="00C96649" w:rsidRPr="00C96649">
        <w:rPr>
          <w:lang w:val="en-US"/>
        </w:rPr>
        <w:t xml:space="preserve"> </w:t>
      </w:r>
      <w:proofErr w:type="spellStart"/>
      <w:r w:rsidR="00C96649" w:rsidRPr="00C96649">
        <w:rPr>
          <w:lang w:val="en-US"/>
        </w:rPr>
        <w:t>носителя</w:t>
      </w:r>
      <w:proofErr w:type="spellEnd"/>
      <w:r w:rsidR="00C96649" w:rsidRPr="00C96649">
        <w:rPr>
          <w:lang w:val="en-US"/>
        </w:rPr>
        <w:t xml:space="preserve"> </w:t>
      </w:r>
      <w:proofErr w:type="spellStart"/>
      <w:r w:rsidR="00C96649" w:rsidRPr="00C96649">
        <w:rPr>
          <w:lang w:val="en-US"/>
        </w:rPr>
        <w:t>травматической</w:t>
      </w:r>
      <w:proofErr w:type="spellEnd"/>
      <w:r w:rsidR="00C96649" w:rsidRPr="00C96649">
        <w:rPr>
          <w:lang w:val="en-US"/>
        </w:rPr>
        <w:t xml:space="preserve"> </w:t>
      </w:r>
      <w:proofErr w:type="spellStart"/>
      <w:r w:rsidR="00C96649" w:rsidRPr="00C96649">
        <w:rPr>
          <w:lang w:val="en-US"/>
        </w:rPr>
        <w:t>памяти</w:t>
      </w:r>
      <w:proofErr w:type="spellEnd"/>
      <w:r w:rsidR="00C96649">
        <w:rPr>
          <w:lang w:val="en-US"/>
        </w:rPr>
        <w:t>).</w:t>
      </w:r>
      <w:r w:rsidR="00C96649">
        <w:rPr>
          <w:rStyle w:val="ae"/>
          <w:lang w:val="en-US"/>
        </w:rPr>
        <w:footnoteReference w:id="99"/>
      </w:r>
    </w:p>
    <w:p w14:paraId="0B7C8367" w14:textId="2AF0D460" w:rsidR="00C96649" w:rsidRPr="003B5A62" w:rsidRDefault="00C96649" w:rsidP="00C96649">
      <w:pPr>
        <w:tabs>
          <w:tab w:val="left" w:pos="8236"/>
        </w:tabs>
        <w:spacing w:after="0" w:line="480" w:lineRule="auto"/>
        <w:ind w:firstLine="720"/>
        <w:rPr>
          <w:lang w:val="en-US"/>
        </w:rPr>
      </w:pPr>
      <w:r w:rsidRPr="00C96649">
        <w:rPr>
          <w:lang w:val="en-US"/>
        </w:rPr>
        <w:t>This clean and heroic image of the war was very different from private records that described</w:t>
      </w:r>
      <w:r w:rsidR="00F50003">
        <w:rPr>
          <w:lang w:val="en-US"/>
        </w:rPr>
        <w:t xml:space="preserve"> </w:t>
      </w:r>
      <w:r w:rsidRPr="00C96649">
        <w:rPr>
          <w:lang w:val="en-US"/>
        </w:rPr>
        <w:t>reality of life during the siege. While official propaganda spoke about strong and “unbroken bodies” the diaries of Ginzburg and Berggolts showed how starvation reduced people to weak, almost genderless “amoebas.”</w:t>
      </w:r>
      <w:r w:rsidR="00F50003">
        <w:rPr>
          <w:rStyle w:val="ae"/>
          <w:lang w:val="en-US"/>
        </w:rPr>
        <w:footnoteReference w:id="100"/>
      </w:r>
      <w:r w:rsidRPr="00C96649">
        <w:rPr>
          <w:lang w:val="en-US"/>
        </w:rPr>
        <w:t xml:space="preserve"> In the late 1940s these personal memories remained hidden and secret, because</w:t>
      </w:r>
      <w:r w:rsidR="00F50003">
        <w:rPr>
          <w:lang w:val="en-US"/>
        </w:rPr>
        <w:t xml:space="preserve"> </w:t>
      </w:r>
      <w:r w:rsidRPr="00C96649">
        <w:rPr>
          <w:lang w:val="en-US"/>
        </w:rPr>
        <w:t>shameful calculations of survival</w:t>
      </w:r>
      <w:r w:rsidR="00F50003">
        <w:rPr>
          <w:lang w:val="en-US"/>
        </w:rPr>
        <w:t xml:space="preserve">, </w:t>
      </w:r>
      <w:r w:rsidRPr="00C96649">
        <w:rPr>
          <w:lang w:val="en-US"/>
        </w:rPr>
        <w:t>such as counting ration cards</w:t>
      </w:r>
      <w:r w:rsidR="00F50003">
        <w:rPr>
          <w:lang w:val="en-US"/>
        </w:rPr>
        <w:t xml:space="preserve"> </w:t>
      </w:r>
      <w:r w:rsidRPr="00C96649">
        <w:rPr>
          <w:lang w:val="en-US"/>
        </w:rPr>
        <w:t>did not fit heroic tone Soviet propaganda.</w:t>
      </w:r>
    </w:p>
    <w:p w14:paraId="57F5A617" w14:textId="032AD300" w:rsidR="00F50003" w:rsidRPr="00F50003" w:rsidRDefault="00F50003" w:rsidP="00F50003">
      <w:pPr>
        <w:spacing w:after="0" w:line="480" w:lineRule="auto"/>
        <w:ind w:firstLine="720"/>
        <w:rPr>
          <w:lang w:val="en-US"/>
        </w:rPr>
      </w:pPr>
      <w:r w:rsidRPr="00F50003">
        <w:rPr>
          <w:lang w:val="en-US"/>
        </w:rPr>
        <w:t>After Stalin’s death in 1953 and Nikita Khrushchev’s “Secret Speech” at 20th Party Congress in 1956, period known as the Thaw began. During this time “simple human voice” slowly returned to historical discussions. Khrushchev’s policy of de-Stalinization criticized Stalin’s personal role in</w:t>
      </w:r>
      <w:r>
        <w:rPr>
          <w:lang w:val="en-US"/>
        </w:rPr>
        <w:t xml:space="preserve"> </w:t>
      </w:r>
      <w:r w:rsidRPr="00F50003">
        <w:rPr>
          <w:lang w:val="en-US"/>
        </w:rPr>
        <w:t xml:space="preserve">war and promoted new interpretation of the conflict as a “people’s </w:t>
      </w:r>
      <w:r w:rsidRPr="00F50003">
        <w:rPr>
          <w:lang w:val="en-US"/>
        </w:rPr>
        <w:lastRenderedPageBreak/>
        <w:t>war.”</w:t>
      </w:r>
      <w:r>
        <w:rPr>
          <w:rStyle w:val="ae"/>
          <w:lang w:val="en-US"/>
        </w:rPr>
        <w:footnoteReference w:id="101"/>
      </w:r>
      <w:r w:rsidRPr="00F50003">
        <w:rPr>
          <w:lang w:val="en-US"/>
        </w:rPr>
        <w:t xml:space="preserve"> This narrative helped </w:t>
      </w:r>
      <w:r>
        <w:rPr>
          <w:lang w:val="en-US"/>
        </w:rPr>
        <w:t xml:space="preserve">to </w:t>
      </w:r>
      <w:r w:rsidRPr="00F50003">
        <w:rPr>
          <w:lang w:val="en-US"/>
        </w:rPr>
        <w:t>restore legitimacy of the Communist Party. In this context history of the Siege of Leningrad also began to be partially rehabilitated, symbolized by the city’s 250th anniversary celebration in 1957.</w:t>
      </w:r>
    </w:p>
    <w:p w14:paraId="336F3AC7" w14:textId="02A5DEFC" w:rsidR="00F50003" w:rsidRPr="00F50003" w:rsidRDefault="00F50003" w:rsidP="00E95A30">
      <w:pPr>
        <w:spacing w:after="0" w:line="480" w:lineRule="auto"/>
        <w:ind w:firstLine="720"/>
        <w:rPr>
          <w:lang w:val="en-US"/>
        </w:rPr>
      </w:pPr>
      <w:r w:rsidRPr="00F50003">
        <w:rPr>
          <w:lang w:val="en-US"/>
        </w:rPr>
        <w:t>For the first time, it became possible to publicly acknowledge suffering of civilians and harsh everyday reality of the siege. The Thaw allowed</w:t>
      </w:r>
      <w:r>
        <w:rPr>
          <w:lang w:val="en-US"/>
        </w:rPr>
        <w:t xml:space="preserve"> to</w:t>
      </w:r>
      <w:r w:rsidRPr="00F50003">
        <w:rPr>
          <w:lang w:val="en-US"/>
        </w:rPr>
        <w:t xml:space="preserve"> publica</w:t>
      </w:r>
      <w:r>
        <w:rPr>
          <w:lang w:val="en-US"/>
        </w:rPr>
        <w:t>tion</w:t>
      </w:r>
      <w:r w:rsidRPr="00F50003">
        <w:rPr>
          <w:lang w:val="en-US"/>
        </w:rPr>
        <w:t xml:space="preserve"> of more personal accounts, such as Olga Berggolts’s </w:t>
      </w:r>
      <w:r w:rsidRPr="00FE4924">
        <w:rPr>
          <w:i/>
          <w:iCs/>
          <w:lang w:val="en-US"/>
        </w:rPr>
        <w:t>Daytime Stars</w:t>
      </w:r>
      <w:r w:rsidRPr="00F50003">
        <w:rPr>
          <w:lang w:val="en-US"/>
        </w:rPr>
        <w:t xml:space="preserve"> and republication of her wartime radio broadcasts. These works introduced more natural and personal tone to the story of the blockade</w:t>
      </w:r>
      <w:r>
        <w:rPr>
          <w:lang w:val="en-US"/>
        </w:rPr>
        <w:t xml:space="preserve">. It </w:t>
      </w:r>
      <w:r w:rsidRPr="00F50003">
        <w:rPr>
          <w:lang w:val="en-US"/>
        </w:rPr>
        <w:t>allowed survivors to recognize their own memories of cold, hunger, and loss in printed form.</w:t>
      </w:r>
      <w:r>
        <w:rPr>
          <w:lang w:val="en-US"/>
        </w:rPr>
        <w:t xml:space="preserve"> </w:t>
      </w:r>
      <w:r w:rsidRPr="00F50003">
        <w:rPr>
          <w:lang w:val="en-US"/>
        </w:rPr>
        <w:t xml:space="preserve">The construction of  </w:t>
      </w:r>
      <w:proofErr w:type="spellStart"/>
      <w:r w:rsidRPr="00F50003">
        <w:rPr>
          <w:lang w:val="en-US"/>
        </w:rPr>
        <w:t>Piskarevskoe</w:t>
      </w:r>
      <w:proofErr w:type="spellEnd"/>
      <w:r w:rsidRPr="00F50003">
        <w:rPr>
          <w:lang w:val="en-US"/>
        </w:rPr>
        <w:t xml:space="preserve"> Memorial Cemetery</w:t>
      </w:r>
      <w:r w:rsidR="00E95A30">
        <w:rPr>
          <w:lang w:val="en-US"/>
        </w:rPr>
        <w:t xml:space="preserve"> </w:t>
      </w:r>
      <w:r w:rsidRPr="00F50003">
        <w:rPr>
          <w:lang w:val="en-US"/>
        </w:rPr>
        <w:t xml:space="preserve">in 1960, </w:t>
      </w:r>
      <w:proofErr w:type="spellStart"/>
      <w:r w:rsidRPr="00F50003">
        <w:rPr>
          <w:lang w:val="en-US"/>
        </w:rPr>
        <w:t>be</w:t>
      </w:r>
      <w:r w:rsidR="00E95A30">
        <w:rPr>
          <w:lang w:val="en-US"/>
        </w:rPr>
        <w:t>ome</w:t>
      </w:r>
      <w:proofErr w:type="spellEnd"/>
      <w:r w:rsidRPr="00F50003">
        <w:rPr>
          <w:lang w:val="en-US"/>
        </w:rPr>
        <w:t xml:space="preserve"> important place for this renewed memory. The memorial was officially presented as</w:t>
      </w:r>
      <w:r w:rsidR="00E95A30">
        <w:rPr>
          <w:lang w:val="en-US"/>
        </w:rPr>
        <w:t xml:space="preserve"> </w:t>
      </w:r>
      <w:r w:rsidRPr="00F50003">
        <w:rPr>
          <w:lang w:val="en-US"/>
        </w:rPr>
        <w:t>monument to the Revolution, but it also functioned as a space where survivors could mourn the hundreds of thousands of victims buried in mass graves. The inclusion of Tania Savicheva’s diary at the memorial symbolized the recognition of individual victims, even though she was presented as all Leningrad</w:t>
      </w:r>
      <w:r w:rsidR="0093670B">
        <w:rPr>
          <w:lang w:val="en-US"/>
        </w:rPr>
        <w:t xml:space="preserve"> people</w:t>
      </w:r>
      <w:r w:rsidRPr="00F50003">
        <w:rPr>
          <w:lang w:val="en-US"/>
        </w:rPr>
        <w:t xml:space="preserve"> in a symbolic way.</w:t>
      </w:r>
    </w:p>
    <w:p w14:paraId="0FB5D82A" w14:textId="0EF75D9D" w:rsidR="00091822" w:rsidRDefault="00F50003" w:rsidP="00FE4924">
      <w:pPr>
        <w:spacing w:after="0" w:line="480" w:lineRule="auto"/>
        <w:ind w:firstLine="720"/>
        <w:rPr>
          <w:lang w:val="en-US"/>
        </w:rPr>
      </w:pPr>
      <w:r w:rsidRPr="00F50003">
        <w:rPr>
          <w:lang w:val="en-US"/>
        </w:rPr>
        <w:t>Despite these changes, the new openness had clear limits. While Khrushchev criticized Stalin’s supposed “military genius,” he replaced it with another official narrative that portrayed Communist Party as the central force behind the defense of the city.</w:t>
      </w:r>
      <w:r w:rsidR="00DC1967">
        <w:rPr>
          <w:rStyle w:val="ae"/>
          <w:lang w:val="en-US"/>
        </w:rPr>
        <w:footnoteReference w:id="102"/>
      </w:r>
      <w:r w:rsidRPr="00F50003">
        <w:rPr>
          <w:lang w:val="en-US"/>
        </w:rPr>
        <w:t xml:space="preserve"> Open criticism of government mistakes</w:t>
      </w:r>
      <w:r w:rsidR="00DC1967">
        <w:rPr>
          <w:lang w:val="en-US"/>
        </w:rPr>
        <w:t>, s</w:t>
      </w:r>
      <w:r w:rsidRPr="00F50003">
        <w:rPr>
          <w:lang w:val="en-US"/>
        </w:rPr>
        <w:t>uch as failure to evacuate children or the decision to export food from Leningrad in 1941</w:t>
      </w:r>
      <w:r w:rsidR="00DC1967">
        <w:rPr>
          <w:lang w:val="en-US"/>
        </w:rPr>
        <w:t xml:space="preserve">, </w:t>
      </w:r>
      <w:r w:rsidRPr="00F50003">
        <w:rPr>
          <w:lang w:val="en-US"/>
        </w:rPr>
        <w:t xml:space="preserve">remained </w:t>
      </w:r>
      <w:r w:rsidR="00DC1967">
        <w:rPr>
          <w:lang w:val="en-US"/>
        </w:rPr>
        <w:t>mostly</w:t>
      </w:r>
      <w:r w:rsidRPr="00F50003">
        <w:rPr>
          <w:lang w:val="en-US"/>
        </w:rPr>
        <w:t xml:space="preserve"> impossible.</w:t>
      </w:r>
      <w:r w:rsidR="00FE4924">
        <w:rPr>
          <w:lang w:val="en-US"/>
        </w:rPr>
        <w:t xml:space="preserve"> </w:t>
      </w:r>
      <w:r w:rsidRPr="00F50003">
        <w:rPr>
          <w:lang w:val="en-US"/>
        </w:rPr>
        <w:t xml:space="preserve">The heroic narrative therefore continued to dominate. Civilian suffering could be acknowledged, but only as part of a larger story that ended with victory. Literature of the Thaw period was often criticized for “naturalism” if it described starvation too </w:t>
      </w:r>
      <w:r w:rsidR="00DC1967">
        <w:rPr>
          <w:lang w:val="en-US"/>
        </w:rPr>
        <w:t xml:space="preserve">openly </w:t>
      </w:r>
      <w:r w:rsidRPr="00F50003">
        <w:rPr>
          <w:lang w:val="en-US"/>
        </w:rPr>
        <w:t xml:space="preserve">. For example, Lidiya Ginzburg’s Notes of a Blockade Person presented deeply analytical and honest account of siege life, but such works </w:t>
      </w:r>
      <w:r w:rsidRPr="00F50003">
        <w:rPr>
          <w:lang w:val="en-US"/>
        </w:rPr>
        <w:lastRenderedPageBreak/>
        <w:t>were considered unsuitable for the official narrative of victory and were often censored or published much later.</w:t>
      </w:r>
      <w:r w:rsidR="00DC1967">
        <w:rPr>
          <w:rStyle w:val="ae"/>
          <w:lang w:val="en-US"/>
        </w:rPr>
        <w:footnoteReference w:id="103"/>
      </w:r>
      <w:r w:rsidR="00FE4924">
        <w:rPr>
          <w:lang w:val="en-US"/>
        </w:rPr>
        <w:t xml:space="preserve"> </w:t>
      </w:r>
      <w:r w:rsidRPr="00F50003">
        <w:rPr>
          <w:lang w:val="en-US"/>
        </w:rPr>
        <w:t>The state therefore promoted a version of memory that emphasized courage, sacrifice, and endurance. Even descriptions of famine w</w:t>
      </w:r>
      <w:r w:rsidR="00DC1967">
        <w:rPr>
          <w:lang w:val="en-US"/>
        </w:rPr>
        <w:t xml:space="preserve">as </w:t>
      </w:r>
      <w:r w:rsidRPr="00F50003">
        <w:rPr>
          <w:lang w:val="en-US"/>
        </w:rPr>
        <w:t xml:space="preserve">used to strengthen image of Leningrad as a heroic city </w:t>
      </w:r>
      <w:r w:rsidR="00FE4924" w:rsidRPr="00FE4924">
        <w:rPr>
          <w:lang w:val="en-US"/>
        </w:rPr>
        <w:t>rather than to question how Soviet policies (from the failure to evacuate civilians to the banning of individual food parcels) compounded the suffering caused by the German siege</w:t>
      </w:r>
      <w:r w:rsidRPr="00F50003">
        <w:rPr>
          <w:lang w:val="en-US"/>
        </w:rPr>
        <w:t>.</w:t>
      </w:r>
      <w:r w:rsidR="00DC1967">
        <w:rPr>
          <w:lang w:val="en-US"/>
        </w:rPr>
        <w:t xml:space="preserve"> </w:t>
      </w:r>
      <w:r w:rsidRPr="00F50003">
        <w:rPr>
          <w:lang w:val="en-US"/>
        </w:rPr>
        <w:t>During this period, personal diaries such as Mukhina</w:t>
      </w:r>
      <w:r w:rsidR="00DC1967">
        <w:rPr>
          <w:lang w:val="en-US"/>
        </w:rPr>
        <w:t>’s diary</w:t>
      </w:r>
      <w:r w:rsidRPr="00F50003">
        <w:rPr>
          <w:lang w:val="en-US"/>
        </w:rPr>
        <w:t xml:space="preserve"> began to be used as historical sources. However, they were carefully edited and interpreted through the framework of “communist upbringing”</w:t>
      </w:r>
      <w:r w:rsidR="00DC1967">
        <w:rPr>
          <w:lang w:val="en-US"/>
        </w:rPr>
        <w:t>.</w:t>
      </w:r>
      <w:r w:rsidR="00DC1967">
        <w:rPr>
          <w:rStyle w:val="ae"/>
          <w:lang w:val="en-US"/>
        </w:rPr>
        <w:footnoteReference w:id="104"/>
      </w:r>
      <w:r w:rsidRPr="00F50003">
        <w:rPr>
          <w:lang w:val="en-US"/>
        </w:rPr>
        <w:t xml:space="preserve"> These diaries were valued as examples of spiritual strength, but parts that contained criticism of Soviet system, descriptions of psychological breakdown caused by hunger, or accounts of family conflicts were usually removed.</w:t>
      </w:r>
      <w:r w:rsidR="00FE4924">
        <w:rPr>
          <w:lang w:val="en-US"/>
        </w:rPr>
        <w:t xml:space="preserve"> As </w:t>
      </w:r>
      <w:r w:rsidRPr="00F50003">
        <w:rPr>
          <w:lang w:val="en-US"/>
        </w:rPr>
        <w:t>a result, the official memory of the siege became more complex</w:t>
      </w:r>
      <w:r w:rsidR="00DC1967">
        <w:rPr>
          <w:lang w:val="en-US"/>
        </w:rPr>
        <w:t>. I</w:t>
      </w:r>
      <w:r w:rsidRPr="00F50003">
        <w:rPr>
          <w:lang w:val="en-US"/>
        </w:rPr>
        <w:t>t recognized the terrible winter and the suffering of civilians</w:t>
      </w:r>
      <w:r w:rsidR="00DC1967">
        <w:rPr>
          <w:lang w:val="en-US"/>
        </w:rPr>
        <w:t xml:space="preserve">, </w:t>
      </w:r>
      <w:r w:rsidRPr="00F50003">
        <w:rPr>
          <w:lang w:val="en-US"/>
        </w:rPr>
        <w:t>but</w:t>
      </w:r>
      <w:r w:rsidR="00DC1967">
        <w:rPr>
          <w:lang w:val="en-US"/>
        </w:rPr>
        <w:t xml:space="preserve"> </w:t>
      </w:r>
      <w:r w:rsidRPr="00F50003">
        <w:rPr>
          <w:lang w:val="en-US"/>
        </w:rPr>
        <w:t>still served to support a patriotic narrative. Personal testimonies were accepted only if they did not challenge the broader story of a nation that had heroically overcome the hardships of war.</w:t>
      </w:r>
      <w:r w:rsidR="00E95A30">
        <w:rPr>
          <w:lang w:val="en-US"/>
        </w:rPr>
        <w:t xml:space="preserve"> </w:t>
      </w:r>
    </w:p>
    <w:p w14:paraId="74001BFB" w14:textId="39143EBA" w:rsidR="00E95A30" w:rsidRPr="00E95A30" w:rsidRDefault="00E95A30" w:rsidP="00091822">
      <w:pPr>
        <w:spacing w:after="0" w:line="480" w:lineRule="auto"/>
        <w:ind w:firstLine="720"/>
        <w:rPr>
          <w:lang w:val="en-US"/>
        </w:rPr>
      </w:pPr>
      <w:r w:rsidRPr="00E95A30">
        <w:rPr>
          <w:lang w:val="en-US"/>
        </w:rPr>
        <w:t>During Leonid Brezhnev’s rule, the memory of the Siege of Leningrad became fully institutionalized and turned into what many scholars call a “cult of World War II”</w:t>
      </w:r>
      <w:r w:rsidR="00091822">
        <w:rPr>
          <w:lang w:val="en-US"/>
        </w:rPr>
        <w:t>.</w:t>
      </w:r>
      <w:r w:rsidR="00091822">
        <w:rPr>
          <w:rStyle w:val="ae"/>
          <w:lang w:val="en-US"/>
        </w:rPr>
        <w:footnoteReference w:id="105"/>
      </w:r>
      <w:r w:rsidRPr="00E95A30">
        <w:rPr>
          <w:lang w:val="en-US"/>
        </w:rPr>
        <w:t xml:space="preserve"> In the period</w:t>
      </w:r>
      <w:r w:rsidR="00091822">
        <w:rPr>
          <w:lang w:val="en-US"/>
        </w:rPr>
        <w:t xml:space="preserve"> that was</w:t>
      </w:r>
      <w:r w:rsidRPr="00E95A30">
        <w:rPr>
          <w:lang w:val="en-US"/>
        </w:rPr>
        <w:t xml:space="preserve"> often described as political and economic “</w:t>
      </w:r>
      <w:r w:rsidR="00FE4924" w:rsidRPr="00E95A30">
        <w:rPr>
          <w:lang w:val="en-US"/>
        </w:rPr>
        <w:t>stagnati</w:t>
      </w:r>
      <w:r w:rsidR="00FE4924">
        <w:rPr>
          <w:lang w:val="en-US"/>
        </w:rPr>
        <w:t>on</w:t>
      </w:r>
      <w:r w:rsidRPr="00E95A30">
        <w:rPr>
          <w:lang w:val="en-US"/>
        </w:rPr>
        <w:t>” Soviet government relied on the memory of the war as</w:t>
      </w:r>
      <w:r w:rsidR="00091822">
        <w:rPr>
          <w:lang w:val="en-US"/>
        </w:rPr>
        <w:t xml:space="preserve"> </w:t>
      </w:r>
      <w:r w:rsidRPr="00E95A30">
        <w:rPr>
          <w:lang w:val="en-US"/>
        </w:rPr>
        <w:t>unifying national myth. Since the revolutionary ideals of early Soviet period had lost much of their appeal, the victory in World War II became the main source of legitimacy for the regime.</w:t>
      </w:r>
      <w:r w:rsidR="00FE4924">
        <w:rPr>
          <w:rStyle w:val="ae"/>
          <w:lang w:val="en-US"/>
        </w:rPr>
        <w:footnoteReference w:id="106"/>
      </w:r>
      <w:r w:rsidRPr="00E95A30">
        <w:rPr>
          <w:lang w:val="en-US"/>
        </w:rPr>
        <w:t xml:space="preserve"> The siege was therefore presented as a heroic triumph that justified continued existence of the Soviet state.</w:t>
      </w:r>
      <w:r w:rsidR="00091822">
        <w:rPr>
          <w:rStyle w:val="ae"/>
          <w:lang w:val="en-US"/>
        </w:rPr>
        <w:footnoteReference w:id="107"/>
      </w:r>
      <w:r w:rsidRPr="00E95A30">
        <w:rPr>
          <w:lang w:val="en-US"/>
        </w:rPr>
        <w:t xml:space="preserve"> Memory during this time </w:t>
      </w:r>
      <w:r w:rsidRPr="00E95A30">
        <w:rPr>
          <w:lang w:val="en-US"/>
        </w:rPr>
        <w:lastRenderedPageBreak/>
        <w:t>focused less on real experiences of people during the blockade and more on a standardized narrative of heroic victory.</w:t>
      </w:r>
    </w:p>
    <w:p w14:paraId="4B4FB50A" w14:textId="034D6EEF" w:rsidR="00E95A30" w:rsidRPr="00E95A30" w:rsidRDefault="00091822" w:rsidP="00FE4924">
      <w:pPr>
        <w:spacing w:after="0" w:line="480" w:lineRule="auto"/>
        <w:ind w:firstLine="720"/>
        <w:rPr>
          <w:lang w:val="en-US"/>
        </w:rPr>
      </w:pPr>
      <w:r>
        <w:rPr>
          <w:lang w:val="en-US"/>
        </w:rPr>
        <w:t>In</w:t>
      </w:r>
      <w:r w:rsidR="00E95A30" w:rsidRPr="00E95A30">
        <w:rPr>
          <w:lang w:val="en-US"/>
        </w:rPr>
        <w:t xml:space="preserve"> Brezhnev period </w:t>
      </w:r>
      <w:r>
        <w:rPr>
          <w:lang w:val="en-US"/>
        </w:rPr>
        <w:t xml:space="preserve">there was </w:t>
      </w:r>
      <w:r w:rsidR="00E95A30" w:rsidRPr="00E95A30">
        <w:rPr>
          <w:lang w:val="en-US"/>
        </w:rPr>
        <w:t xml:space="preserve">construction of large memorial complexes dedicated to the siege. These monuments were designed to create a strong emotional response and reinforce the official interpretation of history. While the </w:t>
      </w:r>
      <w:proofErr w:type="spellStart"/>
      <w:r w:rsidR="00E95A30" w:rsidRPr="00E95A30">
        <w:rPr>
          <w:lang w:val="en-US"/>
        </w:rPr>
        <w:t>Piskarevskoe</w:t>
      </w:r>
      <w:proofErr w:type="spellEnd"/>
      <w:r w:rsidR="00E95A30" w:rsidRPr="00E95A30">
        <w:rPr>
          <w:lang w:val="en-US"/>
        </w:rPr>
        <w:t xml:space="preserve"> Memorial Cemetery, opened in 1960, served as a place for mourning, new memorial projects soon followed. These included the Green Belt of Glory, a chain of monuments marking former blockade line</w:t>
      </w:r>
      <w:r w:rsidR="00A77056" w:rsidRPr="00A77056">
        <w:rPr>
          <w:lang w:val="en-US"/>
        </w:rPr>
        <w:t xml:space="preserve"> </w:t>
      </w:r>
      <w:r w:rsidR="00E95A30" w:rsidRPr="00E95A30">
        <w:rPr>
          <w:lang w:val="en-US"/>
        </w:rPr>
        <w:t>and the Monument to the Heroic Defenders of Leningrad on Victory Square, opened in 1975.</w:t>
      </w:r>
      <w:r w:rsidR="00575B61" w:rsidRPr="00E95A30">
        <w:rPr>
          <w:lang w:val="en-US"/>
        </w:rPr>
        <w:t xml:space="preserve"> </w:t>
      </w:r>
      <w:r w:rsidR="00E95A30" w:rsidRPr="00E95A30">
        <w:rPr>
          <w:lang w:val="en-US"/>
        </w:rPr>
        <w:t xml:space="preserve">These </w:t>
      </w:r>
      <w:proofErr w:type="spellStart"/>
      <w:r w:rsidR="00E95A30" w:rsidRPr="00E95A30">
        <w:rPr>
          <w:lang w:val="en-US"/>
        </w:rPr>
        <w:t>sites</w:t>
      </w:r>
      <w:r w:rsidR="00A77056">
        <w:rPr>
          <w:lang w:val="en-US"/>
        </w:rPr>
        <w:t>s</w:t>
      </w:r>
      <w:proofErr w:type="spellEnd"/>
      <w:r w:rsidR="00E95A30" w:rsidRPr="00E95A30">
        <w:rPr>
          <w:lang w:val="en-US"/>
        </w:rPr>
        <w:t xml:space="preserve"> functioned as symbolic centers of the war cult, emphasizing collective sacrifice rather than individual experiences.</w:t>
      </w:r>
    </w:p>
    <w:p w14:paraId="19002042" w14:textId="11434B90" w:rsidR="00E95A30" w:rsidRPr="00E95A30" w:rsidRDefault="00E95A30" w:rsidP="007F14E5">
      <w:pPr>
        <w:spacing w:after="0" w:line="480" w:lineRule="auto"/>
        <w:ind w:firstLine="720"/>
        <w:rPr>
          <w:lang w:val="en-US"/>
        </w:rPr>
      </w:pPr>
      <w:r w:rsidRPr="00E95A30">
        <w:rPr>
          <w:lang w:val="en-US"/>
        </w:rPr>
        <w:t xml:space="preserve">The slogan written by Olga Berggolts and inscribed at </w:t>
      </w:r>
      <w:proofErr w:type="spellStart"/>
      <w:r w:rsidRPr="00E95A30">
        <w:rPr>
          <w:lang w:val="en-US"/>
        </w:rPr>
        <w:t>Piskarevskoe</w:t>
      </w:r>
      <w:proofErr w:type="spellEnd"/>
      <w:r w:rsidR="00A77056">
        <w:rPr>
          <w:lang w:val="en-US"/>
        </w:rPr>
        <w:t xml:space="preserve">: </w:t>
      </w:r>
      <w:r w:rsidRPr="00E95A30">
        <w:rPr>
          <w:lang w:val="en-US"/>
        </w:rPr>
        <w:t>“No one is forgotten, nothing is forgotten”</w:t>
      </w:r>
      <w:r w:rsidR="00A77056">
        <w:rPr>
          <w:lang w:val="en-US"/>
        </w:rPr>
        <w:t xml:space="preserve">, </w:t>
      </w:r>
      <w:r w:rsidRPr="00E95A30">
        <w:rPr>
          <w:lang w:val="en-US"/>
        </w:rPr>
        <w:t>became one of the most recognizable expressions of Soviet memory politics.</w:t>
      </w:r>
      <w:r w:rsidR="007F14E5">
        <w:rPr>
          <w:lang w:val="en-US"/>
        </w:rPr>
        <w:t xml:space="preserve"> </w:t>
      </w:r>
      <w:r w:rsidR="007F14E5" w:rsidRPr="007F14E5">
        <w:rPr>
          <w:lang w:val="en-US"/>
        </w:rPr>
        <w:t>Berggolts thus embodies the central paradox of blockade memory</w:t>
      </w:r>
      <w:r w:rsidR="007F14E5">
        <w:rPr>
          <w:lang w:val="en-US"/>
        </w:rPr>
        <w:t>. T</w:t>
      </w:r>
      <w:r w:rsidR="007F14E5" w:rsidRPr="007F14E5">
        <w:rPr>
          <w:lang w:val="en-US"/>
        </w:rPr>
        <w:t>he same woman whose private diary recorded painful splitting</w:t>
      </w:r>
      <w:r w:rsidR="007F14E5">
        <w:rPr>
          <w:lang w:val="en-US"/>
        </w:rPr>
        <w:t xml:space="preserve"> between</w:t>
      </w:r>
      <w:r w:rsidR="007F14E5" w:rsidRPr="007F14E5">
        <w:rPr>
          <w:lang w:val="en-US"/>
        </w:rPr>
        <w:t xml:space="preserve"> shame, despair, and the cost of performing heroism</w:t>
      </w:r>
      <w:r w:rsidR="007F14E5">
        <w:rPr>
          <w:lang w:val="en-US"/>
        </w:rPr>
        <w:t>,</w:t>
      </w:r>
      <w:r w:rsidR="007F14E5" w:rsidRPr="007F14E5">
        <w:rPr>
          <w:lang w:val="en-US"/>
        </w:rPr>
        <w:t xml:space="preserve"> also supplied the words that helped sanctify the official myth</w:t>
      </w:r>
      <w:r w:rsidR="007F14E5">
        <w:rPr>
          <w:lang w:val="en-US"/>
        </w:rPr>
        <w:t>.</w:t>
      </w:r>
    </w:p>
    <w:p w14:paraId="6522D290" w14:textId="761CAD55" w:rsidR="00E95A30" w:rsidRPr="00E95A30" w:rsidRDefault="00E95A30" w:rsidP="00A77056">
      <w:pPr>
        <w:spacing w:after="0" w:line="480" w:lineRule="auto"/>
        <w:ind w:firstLine="720"/>
        <w:rPr>
          <w:lang w:val="en-US"/>
        </w:rPr>
      </w:pPr>
      <w:r w:rsidRPr="00E95A30">
        <w:rPr>
          <w:lang w:val="en-US"/>
        </w:rPr>
        <w:t>The Soviet leadership also used the memory of the blockade to encourage loyalty among younger generations.</w:t>
      </w:r>
      <w:r w:rsidR="00A77056">
        <w:rPr>
          <w:rStyle w:val="ae"/>
          <w:lang w:val="en-US"/>
        </w:rPr>
        <w:footnoteReference w:id="108"/>
      </w:r>
      <w:r w:rsidRPr="00E95A30">
        <w:rPr>
          <w:lang w:val="en-US"/>
        </w:rPr>
        <w:t xml:space="preserve"> Anniversaries of important wartime events, such as partial breakthrough of the blockade in 1943 and its complete lifting in 1944, became major public celebrations. These commemorations </w:t>
      </w:r>
      <w:r w:rsidR="00A77056">
        <w:rPr>
          <w:lang w:val="en-US"/>
        </w:rPr>
        <w:t>focused on</w:t>
      </w:r>
      <w:r w:rsidRPr="00E95A30">
        <w:rPr>
          <w:lang w:val="en-US"/>
        </w:rPr>
        <w:t xml:space="preserve"> heroism and sacrifice. At the same time, the difference between official narratives and private memories continued to grow. While the state produced heroic films such as Liberation (1972), personal diaries described the harsh realities of starvation and physical decline.</w:t>
      </w:r>
      <w:r w:rsidR="00A77056">
        <w:rPr>
          <w:rStyle w:val="ae"/>
          <w:lang w:val="en-US"/>
        </w:rPr>
        <w:footnoteReference w:id="109"/>
      </w:r>
    </w:p>
    <w:p w14:paraId="64C4E71B" w14:textId="5A2FC8EA" w:rsidR="00E95A30" w:rsidRPr="00E95A30" w:rsidRDefault="00E95A30" w:rsidP="00A77056">
      <w:pPr>
        <w:spacing w:after="0" w:line="480" w:lineRule="auto"/>
        <w:ind w:firstLine="720"/>
        <w:rPr>
          <w:lang w:val="en-US"/>
        </w:rPr>
      </w:pPr>
      <w:r w:rsidRPr="00E95A30">
        <w:rPr>
          <w:lang w:val="en-US"/>
        </w:rPr>
        <w:lastRenderedPageBreak/>
        <w:t xml:space="preserve">An important moment came in 1979 with the publication of Ales Adamovich and Daniil Granin’s A </w:t>
      </w:r>
      <w:r w:rsidRPr="00A77056">
        <w:rPr>
          <w:i/>
          <w:iCs/>
          <w:lang w:val="en-US"/>
        </w:rPr>
        <w:t>Book of the Blockade</w:t>
      </w:r>
      <w:r w:rsidRPr="00E95A30">
        <w:rPr>
          <w:lang w:val="en-US"/>
        </w:rPr>
        <w:t>. Although the text was censored, it was one of the first widely available works to present more honest descriptions of the psychological and physical suffering experienced during the siege. Even so, certain topics, such as cannibalism and political repression connected to the Leningrad Affair, remained strictly forbidden.</w:t>
      </w:r>
      <w:r w:rsidR="00A77056">
        <w:rPr>
          <w:rStyle w:val="ae"/>
          <w:lang w:val="en-US"/>
        </w:rPr>
        <w:footnoteReference w:id="110"/>
      </w:r>
    </w:p>
    <w:p w14:paraId="0E98FE67" w14:textId="1078FE1C" w:rsidR="00E95A30" w:rsidRPr="00E95A30" w:rsidRDefault="00E95A30" w:rsidP="007F14E5">
      <w:pPr>
        <w:spacing w:after="0" w:line="480" w:lineRule="auto"/>
        <w:ind w:firstLine="720"/>
        <w:rPr>
          <w:lang w:val="en-US"/>
        </w:rPr>
      </w:pPr>
      <w:r w:rsidRPr="00E95A30">
        <w:rPr>
          <w:lang w:val="en-US"/>
        </w:rPr>
        <w:t>The policy of Glasnost</w:t>
      </w:r>
      <w:r w:rsidR="00A77056">
        <w:rPr>
          <w:lang w:val="en-US"/>
        </w:rPr>
        <w:t>’</w:t>
      </w:r>
      <w:r w:rsidRPr="00E95A30">
        <w:rPr>
          <w:lang w:val="en-US"/>
        </w:rPr>
        <w:t xml:space="preserve"> and the collapse of the Soviet Union in 1991 led to</w:t>
      </w:r>
      <w:r w:rsidR="00A77056">
        <w:rPr>
          <w:lang w:val="en-US"/>
        </w:rPr>
        <w:t xml:space="preserve"> increase</w:t>
      </w:r>
      <w:r w:rsidRPr="00E95A30">
        <w:rPr>
          <w:lang w:val="en-US"/>
        </w:rPr>
        <w:t xml:space="preserve"> of discussions about the siege. Topics that had previously been taboo</w:t>
      </w:r>
      <w:r w:rsidR="00A77056">
        <w:rPr>
          <w:lang w:val="en-US"/>
        </w:rPr>
        <w:t xml:space="preserve">, </w:t>
      </w:r>
      <w:r w:rsidRPr="00E95A30">
        <w:rPr>
          <w:lang w:val="en-US"/>
        </w:rPr>
        <w:t>including cannibalism, black markets, political repression, and social inequality</w:t>
      </w:r>
      <w:r w:rsidR="00A77056">
        <w:rPr>
          <w:lang w:val="en-US"/>
        </w:rPr>
        <w:t xml:space="preserve">, </w:t>
      </w:r>
      <w:r w:rsidRPr="00E95A30">
        <w:rPr>
          <w:lang w:val="en-US"/>
        </w:rPr>
        <w:t>began to appear in public debates and scholarly works. Historians and witnesses increasingly challenged the earlier heroic narrative.</w:t>
      </w:r>
      <w:r w:rsidR="00575B61" w:rsidRPr="00E95A30">
        <w:rPr>
          <w:lang w:val="en-US"/>
        </w:rPr>
        <w:t xml:space="preserve"> </w:t>
      </w:r>
      <w:r w:rsidRPr="00E95A30">
        <w:rPr>
          <w:lang w:val="en-US"/>
        </w:rPr>
        <w:t xml:space="preserve">The renaming of the city from Leningrad back to St. Petersburg in 1991 reflected this shift. For many people, the name “Leningrad” symbolized the suffering and heroism of the blockade. Others saw it as a reminder of Soviet political control over the city. </w:t>
      </w:r>
    </w:p>
    <w:p w14:paraId="07653EB6" w14:textId="120FA333" w:rsidR="00E95A30" w:rsidRPr="00E95A30" w:rsidRDefault="00E95A30" w:rsidP="00A77056">
      <w:pPr>
        <w:spacing w:after="0" w:line="480" w:lineRule="auto"/>
        <w:ind w:firstLine="720"/>
        <w:rPr>
          <w:lang w:val="en-US"/>
        </w:rPr>
      </w:pPr>
      <w:r w:rsidRPr="00E95A30">
        <w:rPr>
          <w:lang w:val="en-US"/>
        </w:rPr>
        <w:t xml:space="preserve">During this period, personal diaries became especially important historical sources. Previously unpublished </w:t>
      </w:r>
      <w:proofErr w:type="spellStart"/>
      <w:r w:rsidRPr="00E95A30">
        <w:rPr>
          <w:lang w:val="en-US"/>
        </w:rPr>
        <w:t>accounts</w:t>
      </w:r>
      <w:r w:rsidR="00A77056">
        <w:rPr>
          <w:lang w:val="en-US"/>
        </w:rPr>
        <w:t>,like</w:t>
      </w:r>
      <w:proofErr w:type="spellEnd"/>
      <w:r w:rsidRPr="00E95A30">
        <w:rPr>
          <w:lang w:val="en-US"/>
        </w:rPr>
        <w:t xml:space="preserve"> Lena Mukhina’s diary and Lidiya Ginzburg’s analytical reflections</w:t>
      </w:r>
      <w:r w:rsidR="00A77056">
        <w:rPr>
          <w:lang w:val="en-US"/>
        </w:rPr>
        <w:t xml:space="preserve">, </w:t>
      </w:r>
      <w:r w:rsidRPr="00E95A30">
        <w:rPr>
          <w:lang w:val="en-US"/>
        </w:rPr>
        <w:t>provided new perspectives on daily life during the siege. Scholars increasingly interpreted the blockade through the frameworks of trauma and memory studies, describing it as a historical catastrophe that deeply disrupted the lives and identities of those who experienced it.</w:t>
      </w:r>
      <w:r w:rsidR="00A77056">
        <w:rPr>
          <w:lang w:val="en-US"/>
        </w:rPr>
        <w:t xml:space="preserve"> </w:t>
      </w:r>
      <w:r w:rsidRPr="00E95A30">
        <w:rPr>
          <w:lang w:val="en-US"/>
        </w:rPr>
        <w:t>At the same time, many survivors continued to use the familiar language of heroism when speaking about the siege. For them, this language was not simply propaganda but a way to give meaning to the suffering they had endured.</w:t>
      </w:r>
    </w:p>
    <w:p w14:paraId="057E39D7" w14:textId="09EEE8B4" w:rsidR="00E95A30" w:rsidRPr="00E95A30" w:rsidRDefault="00E95A30" w:rsidP="007F14E5">
      <w:pPr>
        <w:spacing w:after="0" w:line="480" w:lineRule="auto"/>
        <w:ind w:firstLine="720"/>
        <w:rPr>
          <w:lang w:val="en-US"/>
        </w:rPr>
      </w:pPr>
      <w:r w:rsidRPr="00E95A30">
        <w:rPr>
          <w:lang w:val="en-US"/>
        </w:rPr>
        <w:t>In contemporary Russia, the memory of the siege has once again become closely connected to state politics. The government presents the victory in World War II as a symbol of national unity and strength. The Orthodox Church now plays a larger role in commemorations, and new religious monuments</w:t>
      </w:r>
      <w:r w:rsidR="00A77056">
        <w:rPr>
          <w:lang w:val="en-US"/>
        </w:rPr>
        <w:t xml:space="preserve">, </w:t>
      </w:r>
      <w:r w:rsidRPr="00E95A30">
        <w:rPr>
          <w:lang w:val="en-US"/>
        </w:rPr>
        <w:t xml:space="preserve">such as the so-called “Blockade Cathedral,” </w:t>
      </w:r>
      <w:r w:rsidRPr="00E95A30">
        <w:rPr>
          <w:lang w:val="en-US"/>
        </w:rPr>
        <w:lastRenderedPageBreak/>
        <w:t>built in 2001 appeared alongside Soviet memorials.</w:t>
      </w:r>
      <w:r w:rsidR="00A77056">
        <w:rPr>
          <w:rStyle w:val="ae"/>
          <w:lang w:val="en-US"/>
        </w:rPr>
        <w:footnoteReference w:id="111"/>
      </w:r>
      <w:r w:rsidR="007F14E5">
        <w:rPr>
          <w:lang w:val="en-US"/>
        </w:rPr>
        <w:t xml:space="preserve"> </w:t>
      </w:r>
      <w:r w:rsidRPr="00E95A30">
        <w:rPr>
          <w:lang w:val="en-US"/>
        </w:rPr>
        <w:t xml:space="preserve">Popular culture also contributes to this renewed patriotic narrative. </w:t>
      </w:r>
      <w:r w:rsidR="00A77056">
        <w:rPr>
          <w:lang w:val="en-US"/>
        </w:rPr>
        <w:t>W</w:t>
      </w:r>
      <w:r w:rsidRPr="00E95A30">
        <w:rPr>
          <w:lang w:val="en-US"/>
        </w:rPr>
        <w:t xml:space="preserve">ar films </w:t>
      </w:r>
      <w:r w:rsidR="00A77056">
        <w:rPr>
          <w:lang w:val="en-US"/>
        </w:rPr>
        <w:t xml:space="preserve">with big budget </w:t>
      </w:r>
      <w:r w:rsidRPr="00E95A30">
        <w:rPr>
          <w:lang w:val="en-US"/>
        </w:rPr>
        <w:t xml:space="preserve">and public commemorations emphasize heroic resistance and national pride. At the same time, the Russian government has created institutions aimed at </w:t>
      </w:r>
      <w:r w:rsidR="00A77056">
        <w:rPr>
          <w:lang w:val="en-US"/>
        </w:rPr>
        <w:t xml:space="preserve">fight </w:t>
      </w:r>
      <w:r w:rsidRPr="00E95A30">
        <w:rPr>
          <w:lang w:val="en-US"/>
        </w:rPr>
        <w:t>what it describes as the “falsification of history,” which often discourages critical discussions about wartime leadership or the severity of the famine.</w:t>
      </w:r>
      <w:r w:rsidR="00A77056">
        <w:rPr>
          <w:rStyle w:val="ae"/>
          <w:lang w:val="en-US"/>
        </w:rPr>
        <w:footnoteReference w:id="112"/>
      </w:r>
    </w:p>
    <w:p w14:paraId="2520585B" w14:textId="4C95F9C9" w:rsidR="00E95A30" w:rsidRPr="00E95A30" w:rsidRDefault="00E95A30" w:rsidP="00A77056">
      <w:pPr>
        <w:spacing w:after="0" w:line="480" w:lineRule="auto"/>
        <w:ind w:firstLine="720"/>
        <w:rPr>
          <w:lang w:val="en-US"/>
        </w:rPr>
      </w:pPr>
      <w:r w:rsidRPr="00E95A30">
        <w:rPr>
          <w:lang w:val="en-US"/>
        </w:rPr>
        <w:t xml:space="preserve">The history of how the Siege of Leningrad has been remembered reveals a constant tension between personal experience and official narratives. Government interpretations have often simplified the blockade, presenting it as a clear story of heroism and victory. These narratives helped create a shared national identity but frequently ignored the harsh realities of starvation and social </w:t>
      </w:r>
      <w:proofErr w:type="spellStart"/>
      <w:r w:rsidRPr="00E95A30">
        <w:rPr>
          <w:lang w:val="en-US"/>
        </w:rPr>
        <w:t>breakdown.Personal</w:t>
      </w:r>
      <w:proofErr w:type="spellEnd"/>
      <w:r w:rsidRPr="00E95A30">
        <w:rPr>
          <w:lang w:val="en-US"/>
        </w:rPr>
        <w:t xml:space="preserve"> diaries, however, tell a more complicated story. Writers such as Lena Mukhina, Lidiya Ginzburg, and Olga Berggolts recorded physical and psychological effects of extreme hunger and fear. Their writings reveal how the siege transformed everyday life and challenged basic ideas about morality and identity.</w:t>
      </w:r>
    </w:p>
    <w:p w14:paraId="1B31D628" w14:textId="2D61E4E8" w:rsidR="0093670B" w:rsidRPr="00A564E6" w:rsidRDefault="00E95A30" w:rsidP="007F14E5">
      <w:pPr>
        <w:spacing w:after="0" w:line="480" w:lineRule="auto"/>
        <w:ind w:firstLine="720"/>
        <w:rPr>
          <w:lang w:val="en-US"/>
        </w:rPr>
      </w:pPr>
      <w:r w:rsidRPr="00E95A30">
        <w:rPr>
          <w:lang w:val="en-US"/>
        </w:rPr>
        <w:t>While official interpretations of the siege have changed over time</w:t>
      </w:r>
      <w:r w:rsidR="00DC1967">
        <w:rPr>
          <w:lang w:val="en-US"/>
        </w:rPr>
        <w:t xml:space="preserve"> </w:t>
      </w:r>
      <w:r w:rsidRPr="00E95A30">
        <w:rPr>
          <w:lang w:val="en-US"/>
        </w:rPr>
        <w:t>from Stalinist propaganda to Brezhnev’s ritualized memory and modern patriotic narratives</w:t>
      </w:r>
      <w:r w:rsidR="00DC1967">
        <w:rPr>
          <w:lang w:val="en-US"/>
        </w:rPr>
        <w:t xml:space="preserve"> </w:t>
      </w:r>
      <w:r w:rsidRPr="00E95A30">
        <w:rPr>
          <w:lang w:val="en-US"/>
        </w:rPr>
        <w:t>the diaries remain important historical documents. They preserve the difficult and often uncomfortable truths about the catastrophe and remind us that behind every heroic narrative were individuals struggling simply to survive.</w:t>
      </w:r>
    </w:p>
    <w:p w14:paraId="08A1B489" w14:textId="2AF7F404" w:rsidR="0093670B" w:rsidRPr="0093670B" w:rsidRDefault="0093670B" w:rsidP="0093670B">
      <w:pPr>
        <w:spacing w:after="0" w:line="480" w:lineRule="auto"/>
        <w:rPr>
          <w:b/>
          <w:bCs/>
          <w:lang w:val="en-US"/>
        </w:rPr>
      </w:pPr>
      <w:r w:rsidRPr="0093670B">
        <w:rPr>
          <w:b/>
          <w:bCs/>
          <w:lang w:val="en-US"/>
        </w:rPr>
        <w:t>Conclusion</w:t>
      </w:r>
    </w:p>
    <w:p w14:paraId="0E11E911" w14:textId="3F0BAFC5" w:rsidR="0093670B" w:rsidRPr="0093670B" w:rsidRDefault="0093670B" w:rsidP="00DC1967">
      <w:pPr>
        <w:spacing w:after="0" w:line="480" w:lineRule="auto"/>
        <w:ind w:firstLine="720"/>
        <w:rPr>
          <w:lang w:val="en-US"/>
        </w:rPr>
      </w:pPr>
      <w:r w:rsidRPr="0093670B">
        <w:rPr>
          <w:lang w:val="en-US"/>
        </w:rPr>
        <w:t>The Siege of Leningrad is one of the most remembered events of the twentieth century, yet it is still not fully understood as a human trauma. For 872 days people of the city lived in extreme conditions. They faced both brutality of German siege and indifference</w:t>
      </w:r>
      <w:r w:rsidR="00DC1967">
        <w:rPr>
          <w:lang w:val="en-US"/>
        </w:rPr>
        <w:t xml:space="preserve"> from</w:t>
      </w:r>
      <w:r w:rsidRPr="0093670B">
        <w:rPr>
          <w:lang w:val="en-US"/>
        </w:rPr>
        <w:t xml:space="preserve"> </w:t>
      </w:r>
      <w:r w:rsidRPr="0093670B">
        <w:rPr>
          <w:lang w:val="en-US"/>
        </w:rPr>
        <w:lastRenderedPageBreak/>
        <w:t>Stalinist system that governed them. This project argues that the diaries of Lena Mukhina, Lidiya Ginzburg, and Olga Berggolts offer important alternative to the official heroic story of the blockade. These diaries were not only records of suffering. Writing was also a way to survive and a way to hold on to</w:t>
      </w:r>
      <w:r w:rsidR="00DC1967">
        <w:rPr>
          <w:lang w:val="en-US"/>
        </w:rPr>
        <w:t xml:space="preserve"> </w:t>
      </w:r>
      <w:r w:rsidRPr="0093670B">
        <w:rPr>
          <w:lang w:val="en-US"/>
        </w:rPr>
        <w:t xml:space="preserve"> sense of self in a situation that constantly threatened to destroy it.</w:t>
      </w:r>
    </w:p>
    <w:p w14:paraId="5143CAA4" w14:textId="309C6B9D" w:rsidR="0093670B" w:rsidRPr="0093670B" w:rsidRDefault="0093670B" w:rsidP="00A77056">
      <w:pPr>
        <w:spacing w:after="0" w:line="480" w:lineRule="auto"/>
        <w:ind w:firstLine="720"/>
        <w:rPr>
          <w:lang w:val="en-US"/>
        </w:rPr>
      </w:pPr>
      <w:r w:rsidRPr="0093670B">
        <w:rPr>
          <w:lang w:val="en-US"/>
        </w:rPr>
        <w:t>One of the central experiences of the blockade was the physical and mental reduction caused by starvation. Hunger became the dominant state of life. The diaries show how people gradually lost energy, strength, and even parts of their identity. Many survivors described feeling almost like simple organisms whose thoughts were focused only on food. Bread became the measure of life itself. However, the three women whose diaries are studied here responded to this experience in different ways. Lena Mukhina often escaped into imagination and wrote about large meals and celebrations that did not exist. Lidiya Ginzburg tried to understand suffering through careful observation and analysis. Olga Berggolts dealt with her hunger through her work, continuing to speak on the radio as the voice of the city even while she was starving herself.</w:t>
      </w:r>
    </w:p>
    <w:p w14:paraId="1797FE07" w14:textId="7BD92678" w:rsidR="0093670B" w:rsidRPr="0093670B" w:rsidRDefault="0093670B" w:rsidP="00A77056">
      <w:pPr>
        <w:spacing w:after="0" w:line="480" w:lineRule="auto"/>
        <w:ind w:firstLine="720"/>
        <w:rPr>
          <w:lang w:val="en-US"/>
        </w:rPr>
      </w:pPr>
      <w:r w:rsidRPr="0093670B">
        <w:rPr>
          <w:lang w:val="en-US"/>
        </w:rPr>
        <w:t>The diaries also show how routine helped people hold on to their sanity. In a city where institutions were breaking down and daily life had collapsed, small routines became very important. Lena tried to continue her studies and treated education as a moral goal. Ginzburg followed simple habits and repeated daily tasks. Berggolts kept working at the radio station and saw this work as a necessary duty. These routines were not only practical. They helped people believe that life still had order and that the future might still exist.</w:t>
      </w:r>
    </w:p>
    <w:p w14:paraId="38F87906" w14:textId="3D0E30E1" w:rsidR="0093670B" w:rsidRPr="0093670B" w:rsidRDefault="0093670B" w:rsidP="006B1C98">
      <w:pPr>
        <w:spacing w:after="0" w:line="480" w:lineRule="auto"/>
        <w:ind w:firstLine="720"/>
        <w:rPr>
          <w:lang w:val="en-US"/>
        </w:rPr>
      </w:pPr>
      <w:r w:rsidRPr="0093670B">
        <w:rPr>
          <w:lang w:val="en-US"/>
        </w:rPr>
        <w:t xml:space="preserve">At the same time, survival often required a painful division within the self. Hunger and exhaustion made it difficult to feel like a whole person. The diaries describe a split between the body that suffered and the mind that observed this suffering. Lena sometimes wrote about herself almost as if she were describing a character in a story. Ginzburg wrote </w:t>
      </w:r>
      <w:r w:rsidRPr="0093670B">
        <w:rPr>
          <w:lang w:val="en-US"/>
        </w:rPr>
        <w:lastRenderedPageBreak/>
        <w:t>about the body as if it were a separate mechanism that the mind had to manage. Berggolts experienced a conflict between her public role as a heroic voice of Leningrad and her private feelings of despair and exhaustion. These accounts reveal the emotional numbness and moral confusion that could appear during the blockade. Such experiences were later largely removed from official descriptions of the siege.</w:t>
      </w:r>
    </w:p>
    <w:p w14:paraId="6AC4EBD5" w14:textId="64760998" w:rsidR="0093670B" w:rsidRPr="0093670B" w:rsidRDefault="0093670B" w:rsidP="006B1C98">
      <w:pPr>
        <w:spacing w:after="0" w:line="480" w:lineRule="auto"/>
        <w:ind w:firstLine="720"/>
        <w:rPr>
          <w:lang w:val="en-US"/>
        </w:rPr>
      </w:pPr>
      <w:r w:rsidRPr="0093670B">
        <w:rPr>
          <w:lang w:val="en-US"/>
        </w:rPr>
        <w:t>The study also shows the difference between personal memory and the way the blockade was presented by the state. Over time Soviet and later Russian narratives turned the siege into a story of heroic resistance and national pride. Difficult aspects of the blockade, especially starvation and social breakdown, were often pushed aside. Political events such as the suppression of the Leningrad Affair and the strong emphasis on wartime heroism during the Brezhnev period helped shape a simplified version of the past.</w:t>
      </w:r>
    </w:p>
    <w:p w14:paraId="30B14508" w14:textId="1F5AEE9A" w:rsidR="0093670B" w:rsidRPr="0093670B" w:rsidRDefault="0093670B" w:rsidP="006B1C98">
      <w:pPr>
        <w:spacing w:after="0" w:line="480" w:lineRule="auto"/>
        <w:ind w:firstLine="720"/>
        <w:rPr>
          <w:lang w:val="en-US"/>
        </w:rPr>
      </w:pPr>
      <w:r w:rsidRPr="0093670B">
        <w:rPr>
          <w:lang w:val="en-US"/>
        </w:rPr>
        <w:t>The diaries of Mukhina, Ginzburg, and Berggolts challenge this simplified memory. They show that the people of the blockade were not symbols of perfect endurance but individuals struggling to survive under extreme conditions. These writings preserve details that official stories often ignore. They remind us that behind the narrative of victory there were human lives marked by hunger, fear, and moral difficulty.</w:t>
      </w:r>
    </w:p>
    <w:p w14:paraId="5CAAA431" w14:textId="12EE7052" w:rsidR="0093670B" w:rsidRDefault="007F14E5" w:rsidP="0093670B">
      <w:pPr>
        <w:spacing w:after="0" w:line="480" w:lineRule="auto"/>
        <w:ind w:firstLine="720"/>
        <w:rPr>
          <w:lang w:val="en-US"/>
        </w:rPr>
      </w:pPr>
      <w:r w:rsidRPr="007F14E5">
        <w:rPr>
          <w:lang w:val="en-US"/>
        </w:rPr>
        <w:t>For this reason, the diaries of Lena Mukhina, Lidiya Ginzburg, and Olga Berggolts remain some of the most important sources for understanding the Siege of Leningrad</w:t>
      </w:r>
      <w:r>
        <w:rPr>
          <w:lang w:val="en-US"/>
        </w:rPr>
        <w:t>. It is</w:t>
      </w:r>
      <w:r w:rsidRPr="007F14E5">
        <w:rPr>
          <w:lang w:val="en-US"/>
        </w:rPr>
        <w:t xml:space="preserve"> not merely as documents of individual suffering, but as political texts that challenge the very foundations of official memory. They record what Soviet and post-Soviet memory politics systematically excluded: moral ambiguity, guilt, envy, the cold calculus of survival, and the painful admission of giving up. In doing so, these private writings become an implicit counter-archive to state-sponsored narratives that demanded coherence, heroism, and collective sacrifice</w:t>
      </w:r>
      <w:r w:rsidR="0093670B" w:rsidRPr="0093670B">
        <w:rPr>
          <w:lang w:val="en-US"/>
        </w:rPr>
        <w:t>.</w:t>
      </w:r>
      <w:r>
        <w:rPr>
          <w:lang w:val="en-US"/>
        </w:rPr>
        <w:t xml:space="preserve"> </w:t>
      </w:r>
      <w:r w:rsidRPr="007F14E5">
        <w:rPr>
          <w:lang w:val="en-US"/>
        </w:rPr>
        <w:t xml:space="preserve">The diaries do not offer a comforting story. They refuse to turn starvation into transcendence or death into victory. Instead, they keep alive the difficult, uncomfortable </w:t>
      </w:r>
      <w:r w:rsidRPr="007F14E5">
        <w:rPr>
          <w:lang w:val="en-US"/>
        </w:rPr>
        <w:lastRenderedPageBreak/>
        <w:t>truth of what people actually experienced</w:t>
      </w:r>
      <w:r>
        <w:rPr>
          <w:lang w:val="en-US"/>
        </w:rPr>
        <w:t xml:space="preserve"> where</w:t>
      </w:r>
      <w:r w:rsidRPr="007F14E5">
        <w:rPr>
          <w:lang w:val="en-US"/>
        </w:rPr>
        <w:t xml:space="preserve"> bodies that would not obey, minds that fractured into observer and sufferer, and moments when even the most disciplined individual surrendered to hunger.</w:t>
      </w:r>
    </w:p>
    <w:p w14:paraId="5FF2BB31" w14:textId="0BAD283A" w:rsidR="004D7533" w:rsidRPr="004D7533" w:rsidRDefault="004D7533" w:rsidP="004D7533">
      <w:pPr>
        <w:spacing w:after="0" w:line="480" w:lineRule="auto"/>
        <w:ind w:firstLine="720"/>
        <w:rPr>
          <w:lang w:val="en-US"/>
        </w:rPr>
      </w:pPr>
      <w:r w:rsidRPr="004D7533">
        <w:rPr>
          <w:lang w:val="en-US"/>
        </w:rPr>
        <w:t>Even in moments when language itself nearly collapsed under the weight of what they had seen, the act of writing allowed these individuals to hold on to their humanity. But more than that</w:t>
      </w:r>
      <w:r>
        <w:rPr>
          <w:lang w:val="en-US"/>
        </w:rPr>
        <w:t>,</w:t>
      </w:r>
      <w:r w:rsidRPr="004D7533">
        <w:rPr>
          <w:lang w:val="en-US"/>
        </w:rPr>
        <w:t xml:space="preserve"> writing became a quiet political act. In a state that demanded cheerful endurance to write honestly about fear, shame, and moral failure was to</w:t>
      </w:r>
      <w:r>
        <w:rPr>
          <w:lang w:val="en-US"/>
        </w:rPr>
        <w:t xml:space="preserve"> form od</w:t>
      </w:r>
      <w:r w:rsidRPr="004D7533">
        <w:rPr>
          <w:lang w:val="en-US"/>
        </w:rPr>
        <w:t xml:space="preserve"> resist</w:t>
      </w:r>
      <w:r>
        <w:rPr>
          <w:lang w:val="en-US"/>
        </w:rPr>
        <w:t>ing</w:t>
      </w:r>
      <w:r w:rsidRPr="004D7533">
        <w:rPr>
          <w:lang w:val="en-US"/>
        </w:rPr>
        <w:t xml:space="preserve">. To record the death of a relative and then calculate how many grams of bread that death would free was to expose the gap between lived reality and official myth. </w:t>
      </w:r>
    </w:p>
    <w:p w14:paraId="6900438A" w14:textId="77DCACCC" w:rsidR="004D7533" w:rsidRPr="0093670B" w:rsidRDefault="004D7533" w:rsidP="004D7533">
      <w:pPr>
        <w:spacing w:after="0" w:line="480" w:lineRule="auto"/>
        <w:ind w:firstLine="720"/>
        <w:rPr>
          <w:lang w:val="en-US"/>
        </w:rPr>
      </w:pPr>
      <w:r w:rsidRPr="004D7533">
        <w:rPr>
          <w:lang w:val="en-US"/>
        </w:rPr>
        <w:t xml:space="preserve">Remembering these voices does not mean forgetting the courage of Leningrad's civilians. But it does mean refusing to let that courage be weaponized into a myth that silences the full truth. The heroic narrative was built precisely by leaving out what the diaries preserve. To read these diaries is to understand that survival itself came at a cost, and that cost was often the very humanity that the myth claims to honor. </w:t>
      </w:r>
    </w:p>
    <w:p w14:paraId="59F19D4E" w14:textId="77777777" w:rsidR="00412EEC" w:rsidRDefault="00412EEC">
      <w:pPr>
        <w:rPr>
          <w:lang w:val="en-US"/>
        </w:rPr>
      </w:pPr>
    </w:p>
    <w:p w14:paraId="2E85B91B" w14:textId="77777777" w:rsidR="00122C56" w:rsidRDefault="00122C56">
      <w:pPr>
        <w:rPr>
          <w:lang w:val="en-US"/>
        </w:rPr>
      </w:pPr>
    </w:p>
    <w:p w14:paraId="3A2D803A" w14:textId="7E9D0609" w:rsidR="00122C56" w:rsidRDefault="00122C56">
      <w:pPr>
        <w:rPr>
          <w:lang w:val="en-US"/>
        </w:rPr>
      </w:pPr>
      <w:r>
        <w:rPr>
          <w:lang w:val="en-US"/>
        </w:rPr>
        <w:br w:type="page"/>
      </w:r>
    </w:p>
    <w:p w14:paraId="68FD86B8" w14:textId="4A92B8D0" w:rsidR="00122C56" w:rsidRPr="00122C56" w:rsidRDefault="00122C56" w:rsidP="00122C56">
      <w:pPr>
        <w:jc w:val="center"/>
        <w:rPr>
          <w:b/>
          <w:bCs/>
          <w:lang w:val="en-US"/>
        </w:rPr>
      </w:pPr>
      <w:r w:rsidRPr="00122C56">
        <w:rPr>
          <w:b/>
          <w:bCs/>
          <w:lang w:val="en-US"/>
        </w:rPr>
        <w:lastRenderedPageBreak/>
        <w:t>Bibliography</w:t>
      </w:r>
    </w:p>
    <w:p w14:paraId="3C4DFFA5" w14:textId="3EAA079B" w:rsidR="00864E58" w:rsidRPr="00864E58" w:rsidRDefault="00864E58" w:rsidP="00864E58">
      <w:pPr>
        <w:pStyle w:val="ds-markdown-paragraph"/>
        <w:shd w:val="clear" w:color="auto" w:fill="FFFFFF"/>
        <w:spacing w:before="0" w:beforeAutospacing="0" w:after="0" w:afterAutospacing="0" w:line="480" w:lineRule="auto"/>
        <w:jc w:val="both"/>
        <w:rPr>
          <w:color w:val="0F1115"/>
          <w:lang w:val="en-US"/>
        </w:rPr>
      </w:pPr>
      <w:r w:rsidRPr="00864E58">
        <w:rPr>
          <w:color w:val="0F1115"/>
          <w:lang w:val="en-US"/>
        </w:rPr>
        <w:t>Adamovich, Ales, and Daniil Granin. </w:t>
      </w:r>
      <w:r w:rsidRPr="00864E58">
        <w:rPr>
          <w:rStyle w:val="af"/>
          <w:color w:val="0F1115"/>
          <w:lang w:val="en-US"/>
        </w:rPr>
        <w:t>The Blockade Book</w:t>
      </w:r>
      <w:r w:rsidRPr="00864E58">
        <w:rPr>
          <w:color w:val="0F1115"/>
          <w:lang w:val="en-US"/>
        </w:rPr>
        <w:t>. Translated by Jacqueline Edwards and Mitchell Schneider. Random House, 1985. (Original Russian publication 1979–1981.)</w:t>
      </w:r>
    </w:p>
    <w:p w14:paraId="17552D0B" w14:textId="77777777" w:rsidR="00864E58" w:rsidRPr="00864E58" w:rsidRDefault="00864E58" w:rsidP="00864E58">
      <w:pPr>
        <w:pStyle w:val="ds-markdown-paragraph"/>
        <w:shd w:val="clear" w:color="auto" w:fill="FFFFFF"/>
        <w:spacing w:before="0" w:beforeAutospacing="0" w:after="0" w:afterAutospacing="0" w:line="480" w:lineRule="auto"/>
        <w:jc w:val="both"/>
        <w:rPr>
          <w:color w:val="0F1115"/>
          <w:lang w:val="en-US"/>
        </w:rPr>
      </w:pPr>
      <w:r w:rsidRPr="00864E58">
        <w:rPr>
          <w:color w:val="0F1115"/>
          <w:lang w:val="en-US"/>
        </w:rPr>
        <w:t>Barskova, Polina. </w:t>
      </w:r>
      <w:proofErr w:type="spellStart"/>
      <w:r w:rsidRPr="00864E58">
        <w:rPr>
          <w:rStyle w:val="af"/>
          <w:color w:val="0F1115"/>
          <w:lang w:val="en-US"/>
        </w:rPr>
        <w:t>Blokadnye</w:t>
      </w:r>
      <w:proofErr w:type="spellEnd"/>
      <w:r w:rsidRPr="00864E58">
        <w:rPr>
          <w:rStyle w:val="af"/>
          <w:color w:val="0F1115"/>
          <w:lang w:val="en-US"/>
        </w:rPr>
        <w:t xml:space="preserve"> </w:t>
      </w:r>
      <w:proofErr w:type="spellStart"/>
      <w:r w:rsidRPr="00864E58">
        <w:rPr>
          <w:rStyle w:val="af"/>
          <w:color w:val="0F1115"/>
          <w:lang w:val="en-US"/>
        </w:rPr>
        <w:t>narrativy</w:t>
      </w:r>
      <w:proofErr w:type="spellEnd"/>
      <w:r w:rsidRPr="00864E58">
        <w:rPr>
          <w:rStyle w:val="af"/>
          <w:color w:val="0F1115"/>
          <w:lang w:val="en-US"/>
        </w:rPr>
        <w:t xml:space="preserve">: O </w:t>
      </w:r>
      <w:proofErr w:type="spellStart"/>
      <w:r w:rsidRPr="00864E58">
        <w:rPr>
          <w:rStyle w:val="af"/>
          <w:color w:val="0F1115"/>
          <w:lang w:val="en-US"/>
        </w:rPr>
        <w:t>politike</w:t>
      </w:r>
      <w:proofErr w:type="spellEnd"/>
      <w:r w:rsidRPr="00864E58">
        <w:rPr>
          <w:rStyle w:val="af"/>
          <w:color w:val="0F1115"/>
          <w:lang w:val="en-US"/>
        </w:rPr>
        <w:t xml:space="preserve"> i </w:t>
      </w:r>
      <w:proofErr w:type="spellStart"/>
      <w:r w:rsidRPr="00864E58">
        <w:rPr>
          <w:rStyle w:val="af"/>
          <w:color w:val="0F1115"/>
          <w:lang w:val="en-US"/>
        </w:rPr>
        <w:t>poėtike</w:t>
      </w:r>
      <w:proofErr w:type="spellEnd"/>
      <w:r w:rsidRPr="00864E58">
        <w:rPr>
          <w:rStyle w:val="af"/>
          <w:color w:val="0F1115"/>
          <w:lang w:val="en-US"/>
        </w:rPr>
        <w:t xml:space="preserve"> </w:t>
      </w:r>
      <w:proofErr w:type="spellStart"/>
      <w:r w:rsidRPr="00864E58">
        <w:rPr>
          <w:rStyle w:val="af"/>
          <w:color w:val="0F1115"/>
          <w:lang w:val="en-US"/>
        </w:rPr>
        <w:t>pamiati</w:t>
      </w:r>
      <w:proofErr w:type="spellEnd"/>
      <w:r w:rsidRPr="00864E58">
        <w:rPr>
          <w:color w:val="0F1115"/>
          <w:lang w:val="en-US"/>
        </w:rPr>
        <w:t xml:space="preserve">. Moscow: </w:t>
      </w:r>
      <w:proofErr w:type="spellStart"/>
      <w:r w:rsidRPr="00864E58">
        <w:rPr>
          <w:color w:val="0F1115"/>
          <w:lang w:val="en-US"/>
        </w:rPr>
        <w:t>Novoe</w:t>
      </w:r>
      <w:proofErr w:type="spellEnd"/>
      <w:r w:rsidRPr="00864E58">
        <w:rPr>
          <w:color w:val="0F1115"/>
          <w:lang w:val="en-US"/>
        </w:rPr>
        <w:t xml:space="preserve"> </w:t>
      </w:r>
      <w:proofErr w:type="spellStart"/>
      <w:r w:rsidRPr="00864E58">
        <w:rPr>
          <w:color w:val="0F1115"/>
          <w:lang w:val="en-US"/>
        </w:rPr>
        <w:t>literaturnoe</w:t>
      </w:r>
      <w:proofErr w:type="spellEnd"/>
      <w:r w:rsidRPr="00864E58">
        <w:rPr>
          <w:color w:val="0F1115"/>
          <w:lang w:val="en-US"/>
        </w:rPr>
        <w:t xml:space="preserve"> </w:t>
      </w:r>
      <w:proofErr w:type="spellStart"/>
      <w:r w:rsidRPr="00864E58">
        <w:rPr>
          <w:color w:val="0F1115"/>
          <w:lang w:val="en-US"/>
        </w:rPr>
        <w:t>obozrenie</w:t>
      </w:r>
      <w:proofErr w:type="spellEnd"/>
      <w:r w:rsidRPr="00864E58">
        <w:rPr>
          <w:color w:val="0F1115"/>
          <w:lang w:val="en-US"/>
        </w:rPr>
        <w:t>, 2017. [Also cited as </w:t>
      </w:r>
      <w:proofErr w:type="spellStart"/>
      <w:r w:rsidRPr="00864E58">
        <w:rPr>
          <w:rStyle w:val="af"/>
          <w:color w:val="0F1115"/>
          <w:lang w:val="en-US"/>
        </w:rPr>
        <w:t>Blokadnoe</w:t>
      </w:r>
      <w:proofErr w:type="spellEnd"/>
      <w:r w:rsidRPr="00864E58">
        <w:rPr>
          <w:rStyle w:val="af"/>
          <w:color w:val="0F1115"/>
          <w:lang w:val="en-US"/>
        </w:rPr>
        <w:t xml:space="preserve"> </w:t>
      </w:r>
      <w:proofErr w:type="spellStart"/>
      <w:r w:rsidRPr="00864E58">
        <w:rPr>
          <w:rStyle w:val="af"/>
          <w:color w:val="0F1115"/>
          <w:lang w:val="en-US"/>
        </w:rPr>
        <w:t>posle</w:t>
      </w:r>
      <w:proofErr w:type="spellEnd"/>
      <w:r w:rsidRPr="00864E58">
        <w:rPr>
          <w:color w:val="0F1115"/>
          <w:lang w:val="en-US"/>
        </w:rPr>
        <w:t>.]</w:t>
      </w:r>
    </w:p>
    <w:p w14:paraId="39ADB924" w14:textId="1BF29BDA" w:rsidR="00864E58" w:rsidRPr="00864E58" w:rsidRDefault="00864E58" w:rsidP="00864E58">
      <w:pPr>
        <w:pStyle w:val="ds-markdown-paragraph"/>
        <w:shd w:val="clear" w:color="auto" w:fill="FFFFFF"/>
        <w:spacing w:before="0" w:beforeAutospacing="0" w:after="0" w:afterAutospacing="0" w:line="480" w:lineRule="auto"/>
        <w:jc w:val="both"/>
        <w:rPr>
          <w:color w:val="0F1115"/>
          <w:lang w:val="en-US"/>
        </w:rPr>
      </w:pPr>
      <w:r w:rsidRPr="00864E58">
        <w:rPr>
          <w:color w:val="0F1115"/>
          <w:lang w:val="en-US"/>
        </w:rPr>
        <w:t>Berggolts, Olga. </w:t>
      </w:r>
      <w:r w:rsidRPr="00864E58">
        <w:rPr>
          <w:rStyle w:val="af"/>
          <w:color w:val="0F1115"/>
          <w:lang w:val="en-US"/>
        </w:rPr>
        <w:t>Forbidden Diary: 1941–1944</w:t>
      </w:r>
      <w:r w:rsidRPr="00864E58">
        <w:rPr>
          <w:color w:val="0F1115"/>
          <w:lang w:val="en-US"/>
        </w:rPr>
        <w:t>. Translated by Catherine Porter. Pushkin Press, 2014.</w:t>
      </w:r>
    </w:p>
    <w:p w14:paraId="58A4721E" w14:textId="738B827C" w:rsidR="00864E58" w:rsidRPr="00864E58" w:rsidRDefault="00864E58" w:rsidP="00864E58">
      <w:pPr>
        <w:pStyle w:val="ds-markdown-paragraph"/>
        <w:shd w:val="clear" w:color="auto" w:fill="FFFFFF"/>
        <w:spacing w:before="0" w:beforeAutospacing="0" w:after="0" w:afterAutospacing="0" w:line="480" w:lineRule="auto"/>
        <w:jc w:val="both"/>
        <w:rPr>
          <w:color w:val="0F1115"/>
          <w:lang w:val="en-US"/>
        </w:rPr>
      </w:pPr>
      <w:r w:rsidRPr="00864E58">
        <w:rPr>
          <w:color w:val="0F1115"/>
          <w:lang w:val="en-US"/>
        </w:rPr>
        <w:t>Bidlack, Richard, and Nikita Lomagin. </w:t>
      </w:r>
      <w:r w:rsidRPr="00864E58">
        <w:rPr>
          <w:rStyle w:val="af"/>
          <w:color w:val="0F1115"/>
          <w:lang w:val="en-US"/>
        </w:rPr>
        <w:t>The Leningrad Blockade, 1941–1944: A New Documentary History from the Soviet Archives</w:t>
      </w:r>
      <w:r w:rsidRPr="00864E58">
        <w:rPr>
          <w:color w:val="0F1115"/>
          <w:lang w:val="en-US"/>
        </w:rPr>
        <w:t>. Translated by Marian Schwartz. Yale University Press, 2012.</w:t>
      </w:r>
    </w:p>
    <w:p w14:paraId="37BAD326" w14:textId="22CC5EA0" w:rsidR="00864E58" w:rsidRPr="00864E58" w:rsidRDefault="00864E58" w:rsidP="00864E58">
      <w:pPr>
        <w:pStyle w:val="ds-markdown-paragraph"/>
        <w:shd w:val="clear" w:color="auto" w:fill="FFFFFF"/>
        <w:spacing w:before="0" w:beforeAutospacing="0" w:after="0" w:afterAutospacing="0" w:line="480" w:lineRule="auto"/>
        <w:jc w:val="both"/>
        <w:rPr>
          <w:color w:val="0F1115"/>
          <w:lang w:val="en-US"/>
        </w:rPr>
      </w:pPr>
      <w:r w:rsidRPr="00864E58">
        <w:rPr>
          <w:color w:val="0F1115"/>
          <w:lang w:val="en-US"/>
        </w:rPr>
        <w:t xml:space="preserve">Biro, Zoltan </w:t>
      </w:r>
      <w:proofErr w:type="spellStart"/>
      <w:r w:rsidRPr="00864E58">
        <w:rPr>
          <w:color w:val="0F1115"/>
          <w:lang w:val="en-US"/>
        </w:rPr>
        <w:t>Sz</w:t>
      </w:r>
      <w:proofErr w:type="spellEnd"/>
      <w:r w:rsidRPr="00864E58">
        <w:rPr>
          <w:color w:val="0F1115"/>
          <w:lang w:val="en-US"/>
        </w:rPr>
        <w:t>. “The Falsification of History: War and Russian Memory Politics.” </w:t>
      </w:r>
      <w:r w:rsidRPr="00864E58">
        <w:rPr>
          <w:rStyle w:val="af"/>
          <w:color w:val="0F1115"/>
          <w:lang w:val="en-US"/>
        </w:rPr>
        <w:t>Hungarian Conservative</w:t>
      </w:r>
      <w:r w:rsidRPr="00864E58">
        <w:rPr>
          <w:color w:val="0F1115"/>
          <w:lang w:val="en-US"/>
        </w:rPr>
        <w:t>, March 15, 2023. </w:t>
      </w:r>
    </w:p>
    <w:p w14:paraId="15432203" w14:textId="77777777" w:rsidR="00864E58" w:rsidRPr="00864E58" w:rsidRDefault="00864E58" w:rsidP="00864E58">
      <w:pPr>
        <w:pStyle w:val="ds-markdown-paragraph"/>
        <w:shd w:val="clear" w:color="auto" w:fill="FFFFFF"/>
        <w:spacing w:before="0" w:beforeAutospacing="0" w:after="0" w:afterAutospacing="0" w:line="480" w:lineRule="auto"/>
        <w:jc w:val="both"/>
        <w:rPr>
          <w:color w:val="0F1115"/>
          <w:lang w:val="en-US"/>
        </w:rPr>
      </w:pPr>
      <w:r w:rsidRPr="00864E58">
        <w:rPr>
          <w:color w:val="0F1115"/>
          <w:lang w:val="en-US"/>
        </w:rPr>
        <w:t>Carluccio, Giulia. “The Philosophy of Work in the Gulag: Two Views in Comparison.” </w:t>
      </w:r>
      <w:r w:rsidRPr="00864E58">
        <w:rPr>
          <w:rStyle w:val="af"/>
          <w:color w:val="0F1115"/>
          <w:lang w:val="en-US"/>
        </w:rPr>
        <w:t xml:space="preserve">Studi </w:t>
      </w:r>
      <w:proofErr w:type="spellStart"/>
      <w:r w:rsidRPr="00864E58">
        <w:rPr>
          <w:rStyle w:val="af"/>
          <w:color w:val="0F1115"/>
          <w:lang w:val="en-US"/>
        </w:rPr>
        <w:t>Slavistici</w:t>
      </w:r>
      <w:proofErr w:type="spellEnd"/>
      <w:r w:rsidRPr="00864E58">
        <w:rPr>
          <w:color w:val="0F1115"/>
          <w:lang w:val="en-US"/>
        </w:rPr>
        <w:t> 17, no. 1 (2020): 185–202.</w:t>
      </w:r>
    </w:p>
    <w:p w14:paraId="4B7C9253" w14:textId="4A19B34D" w:rsidR="00864E58" w:rsidRPr="00864E58" w:rsidRDefault="00864E58" w:rsidP="00864E58">
      <w:pPr>
        <w:pStyle w:val="ds-markdown-paragraph"/>
        <w:shd w:val="clear" w:color="auto" w:fill="FFFFFF"/>
        <w:spacing w:before="0" w:beforeAutospacing="0" w:after="0" w:afterAutospacing="0" w:line="480" w:lineRule="auto"/>
        <w:jc w:val="both"/>
        <w:rPr>
          <w:color w:val="0F1115"/>
          <w:lang w:val="en-US"/>
        </w:rPr>
      </w:pPr>
      <w:r w:rsidRPr="00864E58">
        <w:rPr>
          <w:color w:val="0F1115"/>
          <w:lang w:val="en-US"/>
        </w:rPr>
        <w:t>Caruth, Cathy. </w:t>
      </w:r>
      <w:r w:rsidRPr="00864E58">
        <w:rPr>
          <w:rStyle w:val="af"/>
          <w:color w:val="0F1115"/>
          <w:lang w:val="en-US"/>
        </w:rPr>
        <w:t>Unclaimed Experience: Trauma, Narrative, and History</w:t>
      </w:r>
      <w:r w:rsidRPr="00864E58">
        <w:rPr>
          <w:color w:val="0F1115"/>
          <w:lang w:val="en-US"/>
        </w:rPr>
        <w:t>. Johns Hopkins University Press, 1996.</w:t>
      </w:r>
    </w:p>
    <w:p w14:paraId="5DDF93CF" w14:textId="193605E5" w:rsidR="00864E58" w:rsidRPr="00864E58" w:rsidRDefault="00864E58" w:rsidP="00864E58">
      <w:pPr>
        <w:pStyle w:val="ds-markdown-paragraph"/>
        <w:shd w:val="clear" w:color="auto" w:fill="FFFFFF"/>
        <w:spacing w:before="0" w:beforeAutospacing="0" w:after="0" w:afterAutospacing="0" w:line="480" w:lineRule="auto"/>
        <w:jc w:val="both"/>
        <w:rPr>
          <w:color w:val="0F1115"/>
          <w:lang w:val="en-US"/>
        </w:rPr>
      </w:pPr>
      <w:r w:rsidRPr="00864E58">
        <w:rPr>
          <w:color w:val="0F1115"/>
          <w:lang w:val="en-US"/>
        </w:rPr>
        <w:t>Dobrenko, Evgeny. </w:t>
      </w:r>
      <w:r w:rsidRPr="00864E58">
        <w:rPr>
          <w:rStyle w:val="af"/>
          <w:color w:val="0F1115"/>
          <w:lang w:val="en-US"/>
        </w:rPr>
        <w:t>Late Stalinism: The Aesthetics of Politics</w:t>
      </w:r>
      <w:r w:rsidRPr="00864E58">
        <w:rPr>
          <w:color w:val="0F1115"/>
          <w:lang w:val="en-US"/>
        </w:rPr>
        <w:t>. Translated by Jesse M. Savage. Yale University Press, 2020.</w:t>
      </w:r>
    </w:p>
    <w:p w14:paraId="6536467C" w14:textId="488CD1B2" w:rsidR="00864E58" w:rsidRPr="00864E58" w:rsidRDefault="00864E58" w:rsidP="00864E58">
      <w:pPr>
        <w:pStyle w:val="ds-markdown-paragraph"/>
        <w:shd w:val="clear" w:color="auto" w:fill="FFFFFF"/>
        <w:spacing w:before="0" w:beforeAutospacing="0" w:after="0" w:afterAutospacing="0" w:line="480" w:lineRule="auto"/>
        <w:jc w:val="both"/>
        <w:rPr>
          <w:color w:val="0F1115"/>
          <w:lang w:val="en-US"/>
        </w:rPr>
      </w:pPr>
      <w:r w:rsidRPr="00864E58">
        <w:rPr>
          <w:color w:val="0F1115"/>
          <w:lang w:val="en-US"/>
        </w:rPr>
        <w:t>Dobrenko, Evgeny. “Ideological Comfort.” In </w:t>
      </w:r>
      <w:r w:rsidRPr="00864E58">
        <w:rPr>
          <w:rStyle w:val="af"/>
          <w:color w:val="0F1115"/>
          <w:lang w:val="en-US"/>
        </w:rPr>
        <w:t>Blockade Narratives</w:t>
      </w:r>
      <w:r w:rsidRPr="00864E58">
        <w:rPr>
          <w:color w:val="0F1115"/>
          <w:lang w:val="en-US"/>
        </w:rPr>
        <w:t xml:space="preserve">, edited by Polina Barskova, 200–215. </w:t>
      </w:r>
      <w:proofErr w:type="spellStart"/>
      <w:r w:rsidRPr="00864E58">
        <w:rPr>
          <w:color w:val="0F1115"/>
          <w:lang w:val="en-US"/>
        </w:rPr>
        <w:t>Novoe</w:t>
      </w:r>
      <w:proofErr w:type="spellEnd"/>
      <w:r w:rsidRPr="00864E58">
        <w:rPr>
          <w:color w:val="0F1115"/>
          <w:lang w:val="en-US"/>
        </w:rPr>
        <w:t xml:space="preserve"> </w:t>
      </w:r>
      <w:proofErr w:type="spellStart"/>
      <w:r w:rsidRPr="00864E58">
        <w:rPr>
          <w:color w:val="0F1115"/>
          <w:lang w:val="en-US"/>
        </w:rPr>
        <w:t>literaturnoe</w:t>
      </w:r>
      <w:proofErr w:type="spellEnd"/>
      <w:r w:rsidRPr="00864E58">
        <w:rPr>
          <w:color w:val="0F1115"/>
          <w:lang w:val="en-US"/>
        </w:rPr>
        <w:t xml:space="preserve"> </w:t>
      </w:r>
      <w:proofErr w:type="spellStart"/>
      <w:r w:rsidRPr="00864E58">
        <w:rPr>
          <w:color w:val="0F1115"/>
          <w:lang w:val="en-US"/>
        </w:rPr>
        <w:t>obozrenie</w:t>
      </w:r>
      <w:proofErr w:type="spellEnd"/>
      <w:r w:rsidRPr="00864E58">
        <w:rPr>
          <w:color w:val="0F1115"/>
          <w:lang w:val="en-US"/>
        </w:rPr>
        <w:t>, 2017.</w:t>
      </w:r>
    </w:p>
    <w:p w14:paraId="6E3AFE87" w14:textId="408E0EF3" w:rsidR="00864E58" w:rsidRPr="00864E58" w:rsidRDefault="00864E58" w:rsidP="00864E58">
      <w:pPr>
        <w:pStyle w:val="ds-markdown-paragraph"/>
        <w:shd w:val="clear" w:color="auto" w:fill="FFFFFF"/>
        <w:spacing w:before="0" w:beforeAutospacing="0" w:after="0" w:afterAutospacing="0" w:line="480" w:lineRule="auto"/>
        <w:jc w:val="both"/>
        <w:rPr>
          <w:color w:val="0F1115"/>
          <w:lang w:val="en-US"/>
        </w:rPr>
      </w:pPr>
      <w:r w:rsidRPr="00864E58">
        <w:rPr>
          <w:color w:val="0F1115"/>
          <w:lang w:val="en-US"/>
        </w:rPr>
        <w:t>Eidelman, Tamara. “Uroki istorii: Blokada Leningrada.” YouTube lecture, 2022. </w:t>
      </w:r>
      <w:r w:rsidRPr="00864E58">
        <w:rPr>
          <w:color w:val="0F1115"/>
          <w:lang w:val="en-US"/>
        </w:rPr>
        <w:t xml:space="preserve"> </w:t>
      </w:r>
      <w:hyperlink r:id="rId7" w:history="1">
        <w:r w:rsidRPr="004E2D14">
          <w:rPr>
            <w:rStyle w:val="af6"/>
            <w:lang w:val="en-US"/>
          </w:rPr>
          <w:t>https://youtu.be/2Mr_ckGQ7NE?si=rkSUQpX8_b0rB4QT</w:t>
        </w:r>
      </w:hyperlink>
      <w:r>
        <w:rPr>
          <w:color w:val="0F1115"/>
          <w:lang w:val="en-US"/>
        </w:rPr>
        <w:t xml:space="preserve"> </w:t>
      </w:r>
    </w:p>
    <w:p w14:paraId="68436811" w14:textId="08BEBEFA" w:rsidR="00864E58" w:rsidRPr="00864E58" w:rsidRDefault="00864E58" w:rsidP="00864E58">
      <w:pPr>
        <w:pStyle w:val="ds-markdown-paragraph"/>
        <w:shd w:val="clear" w:color="auto" w:fill="FFFFFF"/>
        <w:spacing w:before="0" w:beforeAutospacing="0" w:after="0" w:afterAutospacing="0" w:line="480" w:lineRule="auto"/>
        <w:jc w:val="both"/>
        <w:rPr>
          <w:color w:val="0F1115"/>
          <w:lang w:val="en-US"/>
        </w:rPr>
      </w:pPr>
      <w:r w:rsidRPr="00864E58">
        <w:rPr>
          <w:color w:val="0F1115"/>
          <w:lang w:val="en-US"/>
        </w:rPr>
        <w:t>Ginzburg, Lidiya. </w:t>
      </w:r>
      <w:r>
        <w:rPr>
          <w:rStyle w:val="af"/>
          <w:color w:val="0F1115"/>
          <w:lang w:val="en-US"/>
        </w:rPr>
        <w:t>Blockade Diary</w:t>
      </w:r>
      <w:r w:rsidRPr="00864E58">
        <w:rPr>
          <w:color w:val="0F1115"/>
          <w:lang w:val="en-US"/>
        </w:rPr>
        <w:t xml:space="preserve">. Translated by Alan Myers. Harvill Press, 1995. </w:t>
      </w:r>
    </w:p>
    <w:p w14:paraId="75D96EF2" w14:textId="18B11F84" w:rsidR="00864E58" w:rsidRPr="00864E58" w:rsidRDefault="00864E58" w:rsidP="00864E58">
      <w:pPr>
        <w:pStyle w:val="ds-markdown-paragraph"/>
        <w:shd w:val="clear" w:color="auto" w:fill="FFFFFF"/>
        <w:spacing w:before="0" w:beforeAutospacing="0" w:after="0" w:afterAutospacing="0" w:line="480" w:lineRule="auto"/>
        <w:jc w:val="both"/>
        <w:rPr>
          <w:color w:val="0F1115"/>
          <w:lang w:val="en-US"/>
        </w:rPr>
      </w:pPr>
      <w:r w:rsidRPr="00864E58">
        <w:rPr>
          <w:color w:val="0F1115"/>
          <w:lang w:val="en-US"/>
        </w:rPr>
        <w:t>Halbwachs, Maurice. </w:t>
      </w:r>
      <w:r w:rsidRPr="00864E58">
        <w:rPr>
          <w:rStyle w:val="af"/>
          <w:color w:val="0F1115"/>
          <w:lang w:val="en-US"/>
        </w:rPr>
        <w:t>On Collective Memory</w:t>
      </w:r>
      <w:r w:rsidRPr="00864E58">
        <w:rPr>
          <w:color w:val="0F1115"/>
          <w:lang w:val="en-US"/>
        </w:rPr>
        <w:t>. Edited and translated by Lewis A. Coser. University of Chicago Press, 1992.</w:t>
      </w:r>
    </w:p>
    <w:p w14:paraId="31821FBE" w14:textId="5E12C240" w:rsidR="00864E58" w:rsidRPr="00864E58" w:rsidRDefault="00864E58" w:rsidP="00864E58">
      <w:pPr>
        <w:pStyle w:val="ds-markdown-paragraph"/>
        <w:shd w:val="clear" w:color="auto" w:fill="FFFFFF"/>
        <w:spacing w:before="0" w:beforeAutospacing="0" w:after="0" w:afterAutospacing="0" w:line="480" w:lineRule="auto"/>
        <w:jc w:val="both"/>
        <w:rPr>
          <w:color w:val="0F1115"/>
          <w:lang w:val="en-US"/>
        </w:rPr>
      </w:pPr>
      <w:r w:rsidRPr="00864E58">
        <w:rPr>
          <w:color w:val="0F1115"/>
          <w:lang w:val="en-US"/>
        </w:rPr>
        <w:lastRenderedPageBreak/>
        <w:t>Herling-</w:t>
      </w:r>
      <w:proofErr w:type="spellStart"/>
      <w:r w:rsidRPr="00864E58">
        <w:rPr>
          <w:color w:val="0F1115"/>
          <w:lang w:val="en-US"/>
        </w:rPr>
        <w:t>Grudziński</w:t>
      </w:r>
      <w:proofErr w:type="spellEnd"/>
      <w:r w:rsidRPr="00864E58">
        <w:rPr>
          <w:color w:val="0F1115"/>
          <w:lang w:val="en-US"/>
        </w:rPr>
        <w:t>, Gustaw. </w:t>
      </w:r>
      <w:r w:rsidRPr="00864E58">
        <w:rPr>
          <w:rStyle w:val="af"/>
          <w:color w:val="0F1115"/>
          <w:lang w:val="en-US"/>
        </w:rPr>
        <w:t>A World Apart</w:t>
      </w:r>
      <w:r w:rsidRPr="00864E58">
        <w:rPr>
          <w:color w:val="0F1115"/>
          <w:lang w:val="en-US"/>
        </w:rPr>
        <w:t>. Translated by Andrzej Ciołkosz. Heinemann, 1951.</w:t>
      </w:r>
    </w:p>
    <w:p w14:paraId="6808902A" w14:textId="3B3C5FAA" w:rsidR="00864E58" w:rsidRPr="00864E58" w:rsidRDefault="00864E58" w:rsidP="00864E58">
      <w:pPr>
        <w:pStyle w:val="ds-markdown-paragraph"/>
        <w:shd w:val="clear" w:color="auto" w:fill="FFFFFF"/>
        <w:spacing w:before="0" w:beforeAutospacing="0" w:after="0" w:afterAutospacing="0" w:line="480" w:lineRule="auto"/>
        <w:jc w:val="both"/>
        <w:rPr>
          <w:color w:val="0F1115"/>
          <w:lang w:val="en-US"/>
        </w:rPr>
      </w:pPr>
      <w:r w:rsidRPr="00864E58">
        <w:rPr>
          <w:color w:val="0F1115"/>
          <w:lang w:val="en-US"/>
        </w:rPr>
        <w:t>Khrushchev, Nikita. “The Secret Speech” (On the Cult of Personality and Its Consequences). Delivered at the 20th Party Congress, February 25, 1956.</w:t>
      </w:r>
    </w:p>
    <w:p w14:paraId="2B8F9ACA" w14:textId="162EDE18" w:rsidR="00864E58" w:rsidRPr="00864E58" w:rsidRDefault="00864E58" w:rsidP="00864E58">
      <w:pPr>
        <w:pStyle w:val="ds-markdown-paragraph"/>
        <w:shd w:val="clear" w:color="auto" w:fill="FFFFFF"/>
        <w:spacing w:before="0" w:beforeAutospacing="0" w:after="0" w:afterAutospacing="0" w:line="480" w:lineRule="auto"/>
        <w:jc w:val="both"/>
        <w:rPr>
          <w:color w:val="0F1115"/>
          <w:lang w:val="en-US"/>
        </w:rPr>
      </w:pPr>
      <w:r w:rsidRPr="00864E58">
        <w:rPr>
          <w:color w:val="0F1115"/>
          <w:lang w:val="en-US"/>
        </w:rPr>
        <w:t>Kirschenbaum, Lisa A. </w:t>
      </w:r>
      <w:r w:rsidRPr="00864E58">
        <w:rPr>
          <w:rStyle w:val="af"/>
          <w:color w:val="0F1115"/>
          <w:lang w:val="en-US"/>
        </w:rPr>
        <w:t>The Legacy of the Siege of Leningrad, 1941–1995: Myth, Memories, and Monuments</w:t>
      </w:r>
      <w:r w:rsidRPr="00864E58">
        <w:rPr>
          <w:color w:val="0F1115"/>
          <w:lang w:val="en-US"/>
        </w:rPr>
        <w:t>. Cambridge University Press, 2006.</w:t>
      </w:r>
    </w:p>
    <w:p w14:paraId="3F31F0B4" w14:textId="77777777" w:rsidR="00864E58" w:rsidRPr="00864E58" w:rsidRDefault="00864E58" w:rsidP="00864E58">
      <w:pPr>
        <w:pStyle w:val="ds-markdown-paragraph"/>
        <w:shd w:val="clear" w:color="auto" w:fill="FFFFFF"/>
        <w:spacing w:before="0" w:beforeAutospacing="0" w:after="0" w:afterAutospacing="0" w:line="480" w:lineRule="auto"/>
        <w:jc w:val="both"/>
        <w:rPr>
          <w:color w:val="0F1115"/>
          <w:lang w:val="en-US"/>
        </w:rPr>
      </w:pPr>
      <w:r w:rsidRPr="00864E58">
        <w:rPr>
          <w:color w:val="0F1115"/>
          <w:lang w:val="en-US"/>
        </w:rPr>
        <w:t>Krondorfer, Bjorn. “Hunger: Testing Testimonial Limits in the Gray Zone.” </w:t>
      </w:r>
      <w:r w:rsidRPr="00864E58">
        <w:rPr>
          <w:rStyle w:val="af"/>
          <w:color w:val="0F1115"/>
          <w:lang w:val="en-US"/>
        </w:rPr>
        <w:t>Genocide Studies International</w:t>
      </w:r>
      <w:r w:rsidRPr="00864E58">
        <w:rPr>
          <w:color w:val="0F1115"/>
          <w:lang w:val="en-US"/>
        </w:rPr>
        <w:t> 13, no. 1 (2022): 1–18.</w:t>
      </w:r>
    </w:p>
    <w:p w14:paraId="79EC0181" w14:textId="1F0AF053" w:rsidR="00864E58" w:rsidRPr="00864E58" w:rsidRDefault="00864E58" w:rsidP="00864E58">
      <w:pPr>
        <w:pStyle w:val="ds-markdown-paragraph"/>
        <w:shd w:val="clear" w:color="auto" w:fill="FFFFFF"/>
        <w:spacing w:before="0" w:beforeAutospacing="0" w:after="0" w:afterAutospacing="0" w:line="480" w:lineRule="auto"/>
        <w:jc w:val="both"/>
        <w:rPr>
          <w:color w:val="0F1115"/>
          <w:lang w:val="en-US"/>
        </w:rPr>
      </w:pPr>
      <w:r w:rsidRPr="00864E58">
        <w:rPr>
          <w:color w:val="0F1115"/>
          <w:lang w:val="en-US"/>
        </w:rPr>
        <w:t>LaCapra, Dominick. </w:t>
      </w:r>
      <w:r w:rsidRPr="00864E58">
        <w:rPr>
          <w:rStyle w:val="af"/>
          <w:color w:val="0F1115"/>
          <w:lang w:val="en-US"/>
        </w:rPr>
        <w:t>Writing History, Writing Trauma</w:t>
      </w:r>
      <w:r w:rsidRPr="00864E58">
        <w:rPr>
          <w:color w:val="0F1115"/>
          <w:lang w:val="en-US"/>
        </w:rPr>
        <w:t>. Johns Hopkins University Press, 2001.</w:t>
      </w:r>
    </w:p>
    <w:p w14:paraId="6E02A314" w14:textId="01B25D13" w:rsidR="00864E58" w:rsidRPr="00864E58" w:rsidRDefault="00864E58" w:rsidP="00864E58">
      <w:pPr>
        <w:pStyle w:val="ds-markdown-paragraph"/>
        <w:shd w:val="clear" w:color="auto" w:fill="FFFFFF"/>
        <w:spacing w:before="0" w:beforeAutospacing="0" w:after="0" w:afterAutospacing="0" w:line="480" w:lineRule="auto"/>
        <w:jc w:val="both"/>
        <w:rPr>
          <w:color w:val="0F1115"/>
          <w:lang w:val="en-US"/>
        </w:rPr>
      </w:pPr>
      <w:r w:rsidRPr="00864E58">
        <w:rPr>
          <w:color w:val="0F1115"/>
          <w:lang w:val="en-US"/>
        </w:rPr>
        <w:t>Levi, Primo. </w:t>
      </w:r>
      <w:r w:rsidRPr="00864E58">
        <w:rPr>
          <w:rStyle w:val="af"/>
          <w:color w:val="0F1115"/>
          <w:lang w:val="en-US"/>
        </w:rPr>
        <w:t>The Drowned and the Saved</w:t>
      </w:r>
      <w:r w:rsidRPr="00864E58">
        <w:rPr>
          <w:color w:val="0F1115"/>
          <w:lang w:val="en-US"/>
        </w:rPr>
        <w:t>. Translated by Raymond Rosenthal. Vintage, 1989.</w:t>
      </w:r>
    </w:p>
    <w:p w14:paraId="763721C9" w14:textId="32A948DE" w:rsidR="00864E58" w:rsidRPr="00864E58" w:rsidRDefault="00864E58" w:rsidP="00864E58">
      <w:pPr>
        <w:pStyle w:val="ds-markdown-paragraph"/>
        <w:shd w:val="clear" w:color="auto" w:fill="FFFFFF"/>
        <w:spacing w:before="0" w:beforeAutospacing="0" w:after="0" w:afterAutospacing="0" w:line="480" w:lineRule="auto"/>
        <w:jc w:val="both"/>
        <w:rPr>
          <w:color w:val="0F1115"/>
          <w:lang w:val="en-US"/>
        </w:rPr>
      </w:pPr>
      <w:r w:rsidRPr="00864E58">
        <w:rPr>
          <w:color w:val="0F1115"/>
          <w:lang w:val="en-US"/>
        </w:rPr>
        <w:t>Mukhina, Lena. </w:t>
      </w:r>
      <w:r w:rsidRPr="00864E58">
        <w:rPr>
          <w:rStyle w:val="af"/>
          <w:color w:val="0F1115"/>
          <w:lang w:val="en-US"/>
        </w:rPr>
        <w:t>The Diary of Lena Mukhina: A Girl’s Life in the Siege of Leningrad</w:t>
      </w:r>
      <w:r w:rsidRPr="00864E58">
        <w:rPr>
          <w:color w:val="0F1115"/>
          <w:lang w:val="en-US"/>
        </w:rPr>
        <w:t>. Translated by Amanda Love Darragh. Skyhorse Publishing, 2015.</w:t>
      </w:r>
    </w:p>
    <w:p w14:paraId="3C180F09" w14:textId="4941364C" w:rsidR="00864E58" w:rsidRPr="00864E58" w:rsidRDefault="00864E58" w:rsidP="00864E58">
      <w:pPr>
        <w:pStyle w:val="ds-markdown-paragraph"/>
        <w:shd w:val="clear" w:color="auto" w:fill="FFFFFF"/>
        <w:spacing w:before="0" w:beforeAutospacing="0" w:after="0" w:afterAutospacing="0" w:line="480" w:lineRule="auto"/>
        <w:jc w:val="both"/>
        <w:rPr>
          <w:color w:val="0F1115"/>
          <w:lang w:val="en-US"/>
        </w:rPr>
      </w:pPr>
      <w:r w:rsidRPr="00864E58">
        <w:rPr>
          <w:color w:val="0F1115"/>
          <w:lang w:val="en-US"/>
        </w:rPr>
        <w:t>Peri, Alexis. </w:t>
      </w:r>
      <w:r w:rsidRPr="00864E58">
        <w:rPr>
          <w:rStyle w:val="af"/>
          <w:color w:val="0F1115"/>
          <w:lang w:val="en-US"/>
        </w:rPr>
        <w:t>The War Within: Diaries from the Siege of Leningrad</w:t>
      </w:r>
      <w:r w:rsidRPr="00864E58">
        <w:rPr>
          <w:color w:val="0F1115"/>
          <w:lang w:val="en-US"/>
        </w:rPr>
        <w:t>. Harvard University Press, 2017.</w:t>
      </w:r>
    </w:p>
    <w:p w14:paraId="02059F38" w14:textId="581B4B39" w:rsidR="00864E58" w:rsidRPr="00864E58" w:rsidRDefault="00864E58" w:rsidP="00864E58">
      <w:pPr>
        <w:pStyle w:val="ds-markdown-paragraph"/>
        <w:shd w:val="clear" w:color="auto" w:fill="FFFFFF"/>
        <w:spacing w:before="0" w:beforeAutospacing="0" w:after="0" w:afterAutospacing="0" w:line="480" w:lineRule="auto"/>
        <w:jc w:val="both"/>
        <w:rPr>
          <w:color w:val="0F1115"/>
          <w:lang w:val="en-US"/>
        </w:rPr>
      </w:pPr>
      <w:r w:rsidRPr="00864E58">
        <w:rPr>
          <w:color w:val="0F1115"/>
          <w:lang w:val="en-US"/>
        </w:rPr>
        <w:t>Reid, Anna. </w:t>
      </w:r>
      <w:r w:rsidRPr="00864E58">
        <w:rPr>
          <w:rStyle w:val="af"/>
          <w:color w:val="0F1115"/>
          <w:lang w:val="en-US"/>
        </w:rPr>
        <w:t>Leningrad: The Epic Siege of World War II, 1941–1944</w:t>
      </w:r>
      <w:r w:rsidRPr="00864E58">
        <w:rPr>
          <w:color w:val="0F1115"/>
          <w:lang w:val="en-US"/>
        </w:rPr>
        <w:t>. Walker &amp; Company, 2011.</w:t>
      </w:r>
    </w:p>
    <w:p w14:paraId="2CB9DDBE" w14:textId="3D28B585" w:rsidR="00864E58" w:rsidRPr="00864E58" w:rsidRDefault="00864E58" w:rsidP="00864E58">
      <w:pPr>
        <w:pStyle w:val="ds-markdown-paragraph"/>
        <w:shd w:val="clear" w:color="auto" w:fill="FFFFFF"/>
        <w:spacing w:before="0" w:beforeAutospacing="0" w:after="0" w:afterAutospacing="0" w:line="480" w:lineRule="auto"/>
        <w:jc w:val="both"/>
        <w:rPr>
          <w:color w:val="0F1115"/>
          <w:lang w:val="en-US"/>
        </w:rPr>
      </w:pPr>
      <w:proofErr w:type="spellStart"/>
      <w:r w:rsidRPr="00864E58">
        <w:rPr>
          <w:color w:val="0F1115"/>
          <w:lang w:val="en-US"/>
        </w:rPr>
        <w:t>Ringelblum</w:t>
      </w:r>
      <w:proofErr w:type="spellEnd"/>
      <w:r w:rsidRPr="00864E58">
        <w:rPr>
          <w:color w:val="0F1115"/>
          <w:lang w:val="en-US"/>
        </w:rPr>
        <w:t>, Emanuel. </w:t>
      </w:r>
      <w:r w:rsidRPr="00864E58">
        <w:rPr>
          <w:rStyle w:val="af"/>
          <w:color w:val="0F1115"/>
          <w:lang w:val="en-US"/>
        </w:rPr>
        <w:t xml:space="preserve">The </w:t>
      </w:r>
      <w:proofErr w:type="spellStart"/>
      <w:r w:rsidRPr="00864E58">
        <w:rPr>
          <w:rStyle w:val="af"/>
          <w:color w:val="0F1115"/>
          <w:lang w:val="en-US"/>
        </w:rPr>
        <w:t>Ringelblum</w:t>
      </w:r>
      <w:proofErr w:type="spellEnd"/>
      <w:r w:rsidRPr="00864E58">
        <w:rPr>
          <w:rStyle w:val="af"/>
          <w:color w:val="0F1115"/>
          <w:lang w:val="en-US"/>
        </w:rPr>
        <w:t xml:space="preserve"> Archive: Underground Archive of the Warsaw Ghetto</w:t>
      </w:r>
      <w:r w:rsidRPr="00864E58">
        <w:rPr>
          <w:color w:val="0F1115"/>
          <w:lang w:val="en-US"/>
        </w:rPr>
        <w:t>. Vol. 8, </w:t>
      </w:r>
      <w:r w:rsidRPr="00864E58">
        <w:rPr>
          <w:rStyle w:val="af"/>
          <w:color w:val="0F1115"/>
          <w:lang w:val="en-US"/>
        </w:rPr>
        <w:t>Diaries</w:t>
      </w:r>
      <w:r w:rsidRPr="00864E58">
        <w:rPr>
          <w:color w:val="0F1115"/>
          <w:lang w:val="en-US"/>
        </w:rPr>
        <w:t>. Jewish Historical Institute, 2003.</w:t>
      </w:r>
    </w:p>
    <w:p w14:paraId="717C96EB" w14:textId="057DBA85" w:rsidR="00864E58" w:rsidRPr="00864E58" w:rsidRDefault="00864E58" w:rsidP="00864E58">
      <w:pPr>
        <w:pStyle w:val="ds-markdown-paragraph"/>
        <w:shd w:val="clear" w:color="auto" w:fill="FFFFFF"/>
        <w:spacing w:before="0" w:beforeAutospacing="0" w:after="0" w:afterAutospacing="0" w:line="480" w:lineRule="auto"/>
        <w:jc w:val="both"/>
        <w:rPr>
          <w:color w:val="0F1115"/>
          <w:lang w:val="en-US"/>
        </w:rPr>
      </w:pPr>
      <w:r w:rsidRPr="00864E58">
        <w:rPr>
          <w:color w:val="0F1115"/>
          <w:lang w:val="en-US"/>
        </w:rPr>
        <w:t>Tumarkin, Nina. </w:t>
      </w:r>
      <w:r w:rsidRPr="00864E58">
        <w:rPr>
          <w:rStyle w:val="af"/>
          <w:color w:val="0F1115"/>
          <w:lang w:val="en-US"/>
        </w:rPr>
        <w:t>The Living and the Dead: The Rise and Fall of the Cult of World War II in Russia</w:t>
      </w:r>
      <w:r w:rsidRPr="00864E58">
        <w:rPr>
          <w:color w:val="0F1115"/>
          <w:lang w:val="en-US"/>
        </w:rPr>
        <w:t>. Basic Books, 1994.</w:t>
      </w:r>
    </w:p>
    <w:p w14:paraId="55F96C67" w14:textId="77777777" w:rsidR="00E95A30" w:rsidRPr="00864E58" w:rsidRDefault="00E95A30" w:rsidP="00864E58">
      <w:pPr>
        <w:spacing w:after="0" w:line="480" w:lineRule="auto"/>
        <w:jc w:val="both"/>
        <w:rPr>
          <w:lang w:val="en-US"/>
        </w:rPr>
      </w:pPr>
    </w:p>
    <w:sectPr w:rsidR="00E95A30" w:rsidRPr="00864E58" w:rsidSect="00A719BA">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838DE7" w14:textId="77777777" w:rsidR="00DA3867" w:rsidRDefault="00DA3867" w:rsidP="00932E78">
      <w:pPr>
        <w:spacing w:after="0" w:line="240" w:lineRule="auto"/>
      </w:pPr>
      <w:r>
        <w:separator/>
      </w:r>
    </w:p>
  </w:endnote>
  <w:endnote w:type="continuationSeparator" w:id="0">
    <w:p w14:paraId="460F5F33" w14:textId="77777777" w:rsidR="00DA3867" w:rsidRDefault="00DA3867" w:rsidP="00932E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F05A59" w14:textId="77777777" w:rsidR="00DA3867" w:rsidRDefault="00DA3867" w:rsidP="00932E78">
      <w:pPr>
        <w:spacing w:after="0" w:line="240" w:lineRule="auto"/>
      </w:pPr>
      <w:r>
        <w:separator/>
      </w:r>
    </w:p>
  </w:footnote>
  <w:footnote w:type="continuationSeparator" w:id="0">
    <w:p w14:paraId="12172643" w14:textId="77777777" w:rsidR="00DA3867" w:rsidRDefault="00DA3867" w:rsidP="00932E78">
      <w:pPr>
        <w:spacing w:after="0" w:line="240" w:lineRule="auto"/>
      </w:pPr>
      <w:r>
        <w:continuationSeparator/>
      </w:r>
    </w:p>
  </w:footnote>
  <w:footnote w:id="1">
    <w:p w14:paraId="2ED08D6E" w14:textId="35A8BBDB" w:rsidR="00932E78" w:rsidRPr="00A00C16" w:rsidRDefault="00932E78">
      <w:pPr>
        <w:pStyle w:val="ac"/>
      </w:pPr>
      <w:r>
        <w:rPr>
          <w:rStyle w:val="ae"/>
        </w:rPr>
        <w:footnoteRef/>
      </w:r>
      <w:r>
        <w:t xml:space="preserve"> </w:t>
      </w:r>
      <w:r w:rsidRPr="00932E78">
        <w:t xml:space="preserve">Anna Reid, </w:t>
      </w:r>
      <w:r w:rsidRPr="00A00C16">
        <w:rPr>
          <w:i/>
          <w:iCs/>
        </w:rPr>
        <w:t>Leningrad: The Epic Siege of World War II, 1941–1944</w:t>
      </w:r>
      <w:r w:rsidR="00A00C16" w:rsidRPr="00A00C16">
        <w:t xml:space="preserve">. (Walker &amp; Company, 2011), </w:t>
      </w:r>
      <w:r w:rsidR="00A00C16">
        <w:t>p.</w:t>
      </w:r>
      <w:r w:rsidR="001F2057">
        <w:t>45.</w:t>
      </w:r>
      <w:r w:rsidR="00A00C16">
        <w:t xml:space="preserve"> </w:t>
      </w:r>
    </w:p>
  </w:footnote>
  <w:footnote w:id="2">
    <w:p w14:paraId="2BB05E99" w14:textId="77777777" w:rsidR="00B778D1" w:rsidRPr="00433BEB" w:rsidRDefault="00B778D1" w:rsidP="00B778D1">
      <w:pPr>
        <w:pStyle w:val="ac"/>
        <w:rPr>
          <w:lang w:val="en-US"/>
        </w:rPr>
      </w:pPr>
      <w:r w:rsidRPr="00433BEB">
        <w:rPr>
          <w:rStyle w:val="ae"/>
          <w:lang w:val="en-US"/>
        </w:rPr>
        <w:footnoteRef/>
      </w:r>
      <w:r w:rsidRPr="00433BEB">
        <w:rPr>
          <w:lang w:val="en-US"/>
        </w:rPr>
        <w:t xml:space="preserve"> </w:t>
      </w:r>
      <w:bookmarkStart w:id="0" w:name="_Hlk215871446"/>
      <w:r w:rsidRPr="00433BEB">
        <w:rPr>
          <w:lang w:val="en-US"/>
        </w:rPr>
        <w:t>Tamara Eidelman, Uroki istorii: Blokada Leningrada (YouTube Lecture, 2022).</w:t>
      </w:r>
      <w:bookmarkEnd w:id="0"/>
    </w:p>
  </w:footnote>
  <w:footnote w:id="3">
    <w:p w14:paraId="2829D73E" w14:textId="5B55613F" w:rsidR="00B778D1" w:rsidRPr="00433BEB" w:rsidRDefault="00B778D1" w:rsidP="00B778D1">
      <w:pPr>
        <w:pStyle w:val="ac"/>
        <w:rPr>
          <w:lang w:val="en-US"/>
        </w:rPr>
      </w:pPr>
      <w:r w:rsidRPr="00433BEB">
        <w:rPr>
          <w:rStyle w:val="ae"/>
          <w:lang w:val="en-US"/>
        </w:rPr>
        <w:footnoteRef/>
      </w:r>
      <w:r w:rsidRPr="00433BEB">
        <w:rPr>
          <w:lang w:val="en-US"/>
        </w:rPr>
        <w:t xml:space="preserve"> Nina Tumarkin, </w:t>
      </w:r>
      <w:r w:rsidRPr="00433BEB">
        <w:rPr>
          <w:rStyle w:val="af"/>
          <w:lang w:val="en-US"/>
        </w:rPr>
        <w:t>The Living and the Dead: The Rise and Fall of the Cult of World War II in Russia</w:t>
      </w:r>
      <w:r w:rsidRPr="00433BEB">
        <w:rPr>
          <w:lang w:val="en-US"/>
        </w:rPr>
        <w:t xml:space="preserve"> (Basic Books, 1994),</w:t>
      </w:r>
      <w:r w:rsidR="00122C56">
        <w:rPr>
          <w:lang w:val="en-US"/>
        </w:rPr>
        <w:t xml:space="preserve"> pp.</w:t>
      </w:r>
      <w:r w:rsidRPr="00433BEB">
        <w:rPr>
          <w:lang w:val="en-US"/>
        </w:rPr>
        <w:t xml:space="preserve"> 45–50.</w:t>
      </w:r>
    </w:p>
  </w:footnote>
  <w:footnote w:id="4">
    <w:p w14:paraId="6EFA990F" w14:textId="77777777" w:rsidR="00241893" w:rsidRPr="004C3E37" w:rsidRDefault="00241893" w:rsidP="00241893">
      <w:pPr>
        <w:pStyle w:val="ac"/>
      </w:pPr>
      <w:r>
        <w:rPr>
          <w:rStyle w:val="ae"/>
        </w:rPr>
        <w:footnoteRef/>
      </w:r>
      <w:r>
        <w:t xml:space="preserve"> </w:t>
      </w:r>
      <w:r w:rsidRPr="004C3E37">
        <w:rPr>
          <w:lang w:val="en-US"/>
        </w:rPr>
        <w:t xml:space="preserve">Alexis Peri, </w:t>
      </w:r>
      <w:r w:rsidRPr="004C3E37">
        <w:rPr>
          <w:i/>
          <w:iCs/>
          <w:lang w:val="en-US"/>
        </w:rPr>
        <w:t>The War Within: Diaries from the Siege of Leningrad</w:t>
      </w:r>
      <w:r w:rsidRPr="004C3E37">
        <w:rPr>
          <w:lang w:val="en-US"/>
        </w:rPr>
        <w:t xml:space="preserve"> (Harvard University Press, 2017).</w:t>
      </w:r>
    </w:p>
  </w:footnote>
  <w:footnote w:id="5">
    <w:p w14:paraId="3CDD49BA" w14:textId="77777777" w:rsidR="00241893" w:rsidRPr="002D6658" w:rsidRDefault="00241893" w:rsidP="00241893">
      <w:pPr>
        <w:pStyle w:val="ac"/>
        <w:rPr>
          <w:lang w:val="en-US"/>
        </w:rPr>
      </w:pPr>
      <w:r>
        <w:rPr>
          <w:rStyle w:val="ae"/>
        </w:rPr>
        <w:footnoteRef/>
      </w:r>
      <w:r>
        <w:t xml:space="preserve"> </w:t>
      </w:r>
      <w:r w:rsidRPr="002D6658">
        <w:rPr>
          <w:lang w:val="en-US"/>
        </w:rPr>
        <w:t xml:space="preserve">Alexis Peri, </w:t>
      </w:r>
      <w:r w:rsidRPr="002D6658">
        <w:rPr>
          <w:i/>
          <w:iCs/>
          <w:lang w:val="en-US"/>
        </w:rPr>
        <w:t>The War Within: Diaries from the Siege of Leningrad</w:t>
      </w:r>
      <w:r w:rsidRPr="002D6658">
        <w:rPr>
          <w:lang w:val="en-US"/>
        </w:rPr>
        <w:t xml:space="preserve"> (Harvard University Press, 2017).</w:t>
      </w:r>
    </w:p>
  </w:footnote>
  <w:footnote w:id="6">
    <w:p w14:paraId="10622D7B" w14:textId="0EFD367F" w:rsidR="00241893" w:rsidRPr="001F1B94" w:rsidRDefault="00241893" w:rsidP="00241893">
      <w:pPr>
        <w:pStyle w:val="ac"/>
        <w:rPr>
          <w:lang w:val="en-US"/>
        </w:rPr>
      </w:pPr>
      <w:r>
        <w:rPr>
          <w:rStyle w:val="ae"/>
        </w:rPr>
        <w:footnoteRef/>
      </w:r>
      <w:r>
        <w:t xml:space="preserve"> </w:t>
      </w:r>
      <w:proofErr w:type="spellStart"/>
      <w:r w:rsidR="00BF3372">
        <w:t>Lidiya</w:t>
      </w:r>
      <w:proofErr w:type="spellEnd"/>
      <w:r w:rsidR="001F2057">
        <w:t xml:space="preserve"> </w:t>
      </w:r>
      <w:proofErr w:type="spellStart"/>
      <w:r w:rsidR="001F2057">
        <w:t>Gin</w:t>
      </w:r>
      <w:r w:rsidR="00817847">
        <w:t>zburg</w:t>
      </w:r>
      <w:proofErr w:type="spellEnd"/>
      <w:r w:rsidR="00817847">
        <w:t xml:space="preserve">, </w:t>
      </w:r>
      <w:proofErr w:type="spellStart"/>
      <w:r w:rsidR="00BF3372" w:rsidRPr="00BF3372">
        <w:rPr>
          <w:i/>
          <w:iCs/>
        </w:rPr>
        <w:t>Blockade</w:t>
      </w:r>
      <w:proofErr w:type="spellEnd"/>
      <w:r w:rsidR="00BF3372" w:rsidRPr="00BF3372">
        <w:rPr>
          <w:i/>
          <w:iCs/>
        </w:rPr>
        <w:t xml:space="preserve"> </w:t>
      </w:r>
      <w:proofErr w:type="spellStart"/>
      <w:r w:rsidR="00BF3372" w:rsidRPr="00BF3372">
        <w:rPr>
          <w:i/>
          <w:iCs/>
        </w:rPr>
        <w:t>Diary</w:t>
      </w:r>
      <w:proofErr w:type="spellEnd"/>
      <w:r w:rsidR="00BF3372">
        <w:rPr>
          <w:i/>
          <w:iCs/>
        </w:rPr>
        <w:t xml:space="preserve"> </w:t>
      </w:r>
      <w:r w:rsidR="00BF3372">
        <w:t>(</w:t>
      </w:r>
      <w:proofErr w:type="spellStart"/>
      <w:r w:rsidR="00BF3372">
        <w:t>H</w:t>
      </w:r>
      <w:r w:rsidR="00BF3372" w:rsidRPr="00BF3372">
        <w:t>arvill</w:t>
      </w:r>
      <w:proofErr w:type="spellEnd"/>
      <w:r w:rsidR="00BF3372" w:rsidRPr="00BF3372">
        <w:t xml:space="preserve"> Press</w:t>
      </w:r>
      <w:r w:rsidR="00BF3372">
        <w:t xml:space="preserve">, </w:t>
      </w:r>
      <w:r w:rsidR="00BF3372" w:rsidRPr="00BF3372">
        <w:t>1995)</w:t>
      </w:r>
    </w:p>
  </w:footnote>
  <w:footnote w:id="7">
    <w:p w14:paraId="1CF884F8" w14:textId="38994ABE" w:rsidR="00FD6322" w:rsidRPr="008A6410" w:rsidRDefault="00FD6322" w:rsidP="00FD6322">
      <w:pPr>
        <w:pStyle w:val="ac"/>
        <w:rPr>
          <w:lang w:val="en-US"/>
        </w:rPr>
      </w:pPr>
      <w:r>
        <w:rPr>
          <w:rStyle w:val="ae"/>
        </w:rPr>
        <w:footnoteRef/>
      </w:r>
      <w:r>
        <w:t xml:space="preserve"> </w:t>
      </w:r>
      <w:r w:rsidR="00BF3372" w:rsidRPr="00BF3372">
        <w:rPr>
          <w:lang w:val="en-US"/>
        </w:rPr>
        <w:t xml:space="preserve">Cathy Caruth, </w:t>
      </w:r>
      <w:r w:rsidR="00BF3372" w:rsidRPr="00BF3372">
        <w:rPr>
          <w:i/>
          <w:iCs/>
          <w:lang w:val="en-US"/>
        </w:rPr>
        <w:t>Unclaimed Experience: Trauma, Narrative, and History</w:t>
      </w:r>
      <w:r w:rsidR="00BF3372" w:rsidRPr="00BF3372">
        <w:rPr>
          <w:lang w:val="en-US"/>
        </w:rPr>
        <w:t xml:space="preserve"> (Johns Hopkins University Press, 1996)</w:t>
      </w:r>
      <w:r w:rsidR="00BF3372">
        <w:rPr>
          <w:lang w:val="en-US"/>
        </w:rPr>
        <w:t>, pp. 7-8.</w:t>
      </w:r>
    </w:p>
  </w:footnote>
  <w:footnote w:id="8">
    <w:p w14:paraId="0511EAAD" w14:textId="464A0AAF" w:rsidR="00FD6322" w:rsidRPr="00FF33AB" w:rsidRDefault="00FD6322" w:rsidP="00FD6322">
      <w:pPr>
        <w:pStyle w:val="ac"/>
        <w:rPr>
          <w:lang w:val="en-US"/>
        </w:rPr>
      </w:pPr>
      <w:r>
        <w:rPr>
          <w:rStyle w:val="ae"/>
        </w:rPr>
        <w:footnoteRef/>
      </w:r>
      <w:r>
        <w:t xml:space="preserve"> </w:t>
      </w:r>
      <w:r w:rsidRPr="00FF33AB">
        <w:rPr>
          <w:lang w:val="en-US"/>
        </w:rPr>
        <w:t xml:space="preserve">Maurice Halbwachs, </w:t>
      </w:r>
      <w:r w:rsidRPr="00FF33AB">
        <w:rPr>
          <w:i/>
          <w:iCs/>
          <w:lang w:val="en-US"/>
        </w:rPr>
        <w:t>On Collective Memory</w:t>
      </w:r>
    </w:p>
  </w:footnote>
  <w:footnote w:id="9">
    <w:p w14:paraId="1B649464" w14:textId="77777777" w:rsidR="00FD6322" w:rsidRPr="00D94D1E" w:rsidRDefault="00FD6322" w:rsidP="00FD6322">
      <w:pPr>
        <w:pStyle w:val="ac"/>
        <w:rPr>
          <w:lang w:val="en-US"/>
        </w:rPr>
      </w:pPr>
      <w:r w:rsidRPr="00FF33AB">
        <w:rPr>
          <w:rStyle w:val="ae"/>
          <w:lang w:val="en-US"/>
        </w:rPr>
        <w:footnoteRef/>
      </w:r>
      <w:r w:rsidRPr="00FF33AB">
        <w:rPr>
          <w:lang w:val="en-US"/>
        </w:rPr>
        <w:t xml:space="preserve"> Dominick LaCapra, </w:t>
      </w:r>
      <w:r w:rsidRPr="00FF33AB">
        <w:rPr>
          <w:i/>
          <w:iCs/>
          <w:lang w:val="en-US"/>
        </w:rPr>
        <w:t>Writing History, Writing Trauma</w:t>
      </w:r>
    </w:p>
  </w:footnote>
  <w:footnote w:id="10">
    <w:p w14:paraId="4B2E86BB" w14:textId="30AADEA3" w:rsidR="00FD6322" w:rsidRPr="00433BEB" w:rsidRDefault="00FD6322" w:rsidP="00FD6322">
      <w:pPr>
        <w:pStyle w:val="ac"/>
      </w:pPr>
      <w:r w:rsidRPr="00433BEB">
        <w:rPr>
          <w:rStyle w:val="ae"/>
          <w:lang w:val="en-US"/>
        </w:rPr>
        <w:footnoteRef/>
      </w:r>
      <w:r w:rsidRPr="00433BEB">
        <w:rPr>
          <w:lang w:val="en-US"/>
        </w:rPr>
        <w:t xml:space="preserve"> </w:t>
      </w:r>
      <w:r w:rsidR="00BF3372" w:rsidRPr="00BF3372">
        <w:rPr>
          <w:lang w:val="en-US"/>
        </w:rPr>
        <w:t xml:space="preserve">Richard Bidlack and Nikita Lomagin, The Leningrad Blockade, 1941–1944: A New Documentary History from the Soviet Archives (Yale University Press, 2012), </w:t>
      </w:r>
      <w:r w:rsidR="00BF3372">
        <w:rPr>
          <w:lang w:val="en-US"/>
        </w:rPr>
        <w:t xml:space="preserve">pp. </w:t>
      </w:r>
      <w:r w:rsidRPr="00433BEB">
        <w:rPr>
          <w:lang w:val="en-US"/>
        </w:rPr>
        <w:t>21–27</w:t>
      </w:r>
    </w:p>
  </w:footnote>
  <w:footnote w:id="11">
    <w:p w14:paraId="745067C5" w14:textId="28ACB89C" w:rsidR="00932E78" w:rsidRPr="00814F55" w:rsidRDefault="00932E78" w:rsidP="00932E78">
      <w:pPr>
        <w:pStyle w:val="ac"/>
        <w:rPr>
          <w:lang w:val="en-US"/>
        </w:rPr>
      </w:pPr>
      <w:r w:rsidRPr="00814F55">
        <w:rPr>
          <w:rStyle w:val="ae"/>
          <w:lang w:val="en-US"/>
        </w:rPr>
        <w:footnoteRef/>
      </w:r>
      <w:r w:rsidRPr="00814F55">
        <w:rPr>
          <w:lang w:val="en-US"/>
        </w:rPr>
        <w:t xml:space="preserve"> </w:t>
      </w:r>
      <w:r w:rsidR="00BF3372">
        <w:rPr>
          <w:lang w:val="en-US"/>
        </w:rPr>
        <w:t xml:space="preserve">Ibid., p. </w:t>
      </w:r>
      <w:r w:rsidRPr="00814F55">
        <w:rPr>
          <w:lang w:val="en-US"/>
        </w:rPr>
        <w:t>37.</w:t>
      </w:r>
    </w:p>
  </w:footnote>
  <w:footnote w:id="12">
    <w:p w14:paraId="4BA9E47B" w14:textId="4F5A2B05" w:rsidR="00932E78" w:rsidRPr="00814F55" w:rsidRDefault="00932E78" w:rsidP="00932E78">
      <w:pPr>
        <w:pStyle w:val="ac"/>
        <w:rPr>
          <w:lang w:val="en-US"/>
        </w:rPr>
      </w:pPr>
      <w:r w:rsidRPr="00814F55">
        <w:rPr>
          <w:rStyle w:val="ae"/>
          <w:lang w:val="en-US"/>
        </w:rPr>
        <w:footnoteRef/>
      </w:r>
      <w:r w:rsidRPr="00814F55">
        <w:rPr>
          <w:lang w:val="en-US"/>
        </w:rPr>
        <w:t xml:space="preserve"> Ibid., </w:t>
      </w:r>
      <w:r w:rsidR="00BF3372">
        <w:rPr>
          <w:lang w:val="en-US"/>
        </w:rPr>
        <w:t xml:space="preserve">p. </w:t>
      </w:r>
      <w:r w:rsidRPr="00814F55">
        <w:rPr>
          <w:lang w:val="en-US"/>
        </w:rPr>
        <w:t>48.</w:t>
      </w:r>
    </w:p>
  </w:footnote>
  <w:footnote w:id="13">
    <w:p w14:paraId="0BE6125B" w14:textId="5D347503" w:rsidR="00932E78" w:rsidRPr="00814F55" w:rsidRDefault="00932E78" w:rsidP="00932E78">
      <w:pPr>
        <w:pStyle w:val="ac"/>
        <w:rPr>
          <w:lang w:val="en-US"/>
        </w:rPr>
      </w:pPr>
      <w:r w:rsidRPr="00814F55">
        <w:rPr>
          <w:rStyle w:val="ae"/>
          <w:lang w:val="en-US"/>
        </w:rPr>
        <w:footnoteRef/>
      </w:r>
      <w:r w:rsidRPr="00814F55">
        <w:rPr>
          <w:lang w:val="en-US"/>
        </w:rPr>
        <w:t xml:space="preserve"> </w:t>
      </w:r>
      <w:r w:rsidR="00BF3372">
        <w:rPr>
          <w:lang w:val="en-US"/>
        </w:rPr>
        <w:t>Ibid.</w:t>
      </w:r>
      <w:r w:rsidRPr="00814F55">
        <w:rPr>
          <w:lang w:val="en-US"/>
        </w:rPr>
        <w:t xml:space="preserve">, </w:t>
      </w:r>
      <w:r w:rsidR="00BF3372">
        <w:rPr>
          <w:lang w:val="en-US"/>
        </w:rPr>
        <w:t xml:space="preserve">p. </w:t>
      </w:r>
      <w:r w:rsidRPr="00814F55">
        <w:rPr>
          <w:lang w:val="en-US"/>
        </w:rPr>
        <w:t>70.</w:t>
      </w:r>
    </w:p>
  </w:footnote>
  <w:footnote w:id="14">
    <w:p w14:paraId="145AE016" w14:textId="60986B6F" w:rsidR="00932E78" w:rsidRPr="00814F55" w:rsidRDefault="00932E78" w:rsidP="00932E78">
      <w:pPr>
        <w:pStyle w:val="ac"/>
      </w:pPr>
      <w:r w:rsidRPr="00814F55">
        <w:rPr>
          <w:rStyle w:val="ae"/>
          <w:lang w:val="en-US"/>
        </w:rPr>
        <w:footnoteRef/>
      </w:r>
      <w:r w:rsidRPr="00814F55">
        <w:rPr>
          <w:lang w:val="en-US"/>
        </w:rPr>
        <w:t xml:space="preserve"> Lisa Kirschenbaum, </w:t>
      </w:r>
      <w:r w:rsidRPr="00814F55">
        <w:rPr>
          <w:i/>
          <w:iCs/>
          <w:lang w:val="en-US"/>
        </w:rPr>
        <w:t>The Legacy of the Siege of Leningrad</w:t>
      </w:r>
      <w:r w:rsidR="00122C56" w:rsidRPr="00122C56">
        <w:rPr>
          <w:lang w:val="en-US"/>
        </w:rPr>
        <w:t xml:space="preserve"> </w:t>
      </w:r>
      <w:r w:rsidR="00122C56">
        <w:rPr>
          <w:lang w:val="en-US"/>
        </w:rPr>
        <w:t xml:space="preserve">Lisa </w:t>
      </w:r>
      <w:r w:rsidR="00122C56" w:rsidRPr="00814F55">
        <w:rPr>
          <w:lang w:val="en-US"/>
        </w:rPr>
        <w:t xml:space="preserve">Kirschenbaum, </w:t>
      </w:r>
      <w:r w:rsidR="00122C56" w:rsidRPr="00E76FB6">
        <w:rPr>
          <w:i/>
          <w:iCs/>
          <w:lang w:val="en-US"/>
        </w:rPr>
        <w:t xml:space="preserve">The Legacy of the Siege of Leningrad, 1941–1995: Myth, Memories, and Monuments. </w:t>
      </w:r>
      <w:r w:rsidR="00122C56">
        <w:rPr>
          <w:lang w:val="en-US"/>
        </w:rPr>
        <w:t>(</w:t>
      </w:r>
      <w:r w:rsidR="00122C56" w:rsidRPr="00E76FB6">
        <w:rPr>
          <w:lang w:val="en-US"/>
        </w:rPr>
        <w:t>Cambridge University Press</w:t>
      </w:r>
      <w:r w:rsidR="00122C56" w:rsidRPr="00E76FB6">
        <w:rPr>
          <w:i/>
          <w:iCs/>
          <w:lang w:val="en-US"/>
        </w:rPr>
        <w:t xml:space="preserve">, </w:t>
      </w:r>
      <w:r w:rsidR="00122C56" w:rsidRPr="00E76FB6">
        <w:rPr>
          <w:lang w:val="en-US"/>
        </w:rPr>
        <w:t>2006</w:t>
      </w:r>
      <w:r w:rsidR="00122C56">
        <w:rPr>
          <w:lang w:val="en-US"/>
        </w:rPr>
        <w:t>)</w:t>
      </w:r>
      <w:r w:rsidRPr="00814F55">
        <w:rPr>
          <w:lang w:val="en-US"/>
        </w:rPr>
        <w:t xml:space="preserve">, </w:t>
      </w:r>
      <w:r w:rsidR="00BF3372">
        <w:rPr>
          <w:lang w:val="en-US"/>
        </w:rPr>
        <w:t xml:space="preserve">p. </w:t>
      </w:r>
      <w:r w:rsidRPr="00814F55">
        <w:rPr>
          <w:lang w:val="en-US"/>
        </w:rPr>
        <w:t>45.</w:t>
      </w:r>
    </w:p>
  </w:footnote>
  <w:footnote w:id="15">
    <w:p w14:paraId="7D537A37" w14:textId="6E310D9C" w:rsidR="00932E78" w:rsidRPr="00814F55" w:rsidRDefault="00932E78" w:rsidP="00932E78">
      <w:pPr>
        <w:pStyle w:val="ac"/>
        <w:rPr>
          <w:lang w:val="en-US"/>
        </w:rPr>
      </w:pPr>
      <w:r w:rsidRPr="00814F55">
        <w:rPr>
          <w:rStyle w:val="ae"/>
          <w:lang w:val="en-US"/>
        </w:rPr>
        <w:footnoteRef/>
      </w:r>
      <w:r w:rsidRPr="00814F55">
        <w:rPr>
          <w:lang w:val="en-US"/>
        </w:rPr>
        <w:t xml:space="preserve"> </w:t>
      </w:r>
      <w:r w:rsidR="00BF3372" w:rsidRPr="00BF3372">
        <w:rPr>
          <w:lang w:val="en-US"/>
        </w:rPr>
        <w:t>Richard Bidlack and Nikita Lomagin, The Leningrad Blockade, 1941–1944: A New Documentary History from the Soviet Archives (Yale University Press, 2012</w:t>
      </w:r>
      <w:r w:rsidR="00BF3372">
        <w:rPr>
          <w:lang w:val="en-US"/>
        </w:rPr>
        <w:t>)</w:t>
      </w:r>
      <w:r w:rsidRPr="00814F55">
        <w:rPr>
          <w:lang w:val="en-US"/>
        </w:rPr>
        <w:t>, 108.</w:t>
      </w:r>
    </w:p>
  </w:footnote>
  <w:footnote w:id="16">
    <w:p w14:paraId="0684821A" w14:textId="0431C307" w:rsidR="00932E78" w:rsidRPr="00814F55" w:rsidRDefault="00932E78" w:rsidP="00932E78">
      <w:pPr>
        <w:pStyle w:val="ac"/>
        <w:rPr>
          <w:lang w:val="en-US"/>
        </w:rPr>
      </w:pPr>
      <w:r w:rsidRPr="00814F55">
        <w:rPr>
          <w:rStyle w:val="ae"/>
          <w:lang w:val="en-US"/>
        </w:rPr>
        <w:footnoteRef/>
      </w:r>
      <w:r w:rsidRPr="00814F55">
        <w:rPr>
          <w:lang w:val="en-US"/>
        </w:rPr>
        <w:t xml:space="preserve"> Evgeny Dobrenko, “Ideological Comfort,” in Barskova, </w:t>
      </w:r>
      <w:proofErr w:type="spellStart"/>
      <w:r w:rsidRPr="00814F55">
        <w:rPr>
          <w:i/>
          <w:iCs/>
          <w:lang w:val="en-US"/>
        </w:rPr>
        <w:t>Blokadnoe</w:t>
      </w:r>
      <w:proofErr w:type="spellEnd"/>
      <w:r w:rsidRPr="00814F55">
        <w:rPr>
          <w:i/>
          <w:iCs/>
          <w:lang w:val="en-US"/>
        </w:rPr>
        <w:t xml:space="preserve"> </w:t>
      </w:r>
      <w:proofErr w:type="spellStart"/>
      <w:r w:rsidRPr="00814F55">
        <w:rPr>
          <w:i/>
          <w:iCs/>
          <w:lang w:val="en-US"/>
        </w:rPr>
        <w:t>posle</w:t>
      </w:r>
      <w:proofErr w:type="spellEnd"/>
      <w:r w:rsidRPr="00814F55">
        <w:rPr>
          <w:lang w:val="en-US"/>
        </w:rPr>
        <w:t xml:space="preserve">, </w:t>
      </w:r>
      <w:r w:rsidR="00BF3372">
        <w:rPr>
          <w:lang w:val="en-US"/>
        </w:rPr>
        <w:t xml:space="preserve">p. </w:t>
      </w:r>
      <w:r w:rsidRPr="00814F55">
        <w:rPr>
          <w:lang w:val="en-US"/>
        </w:rPr>
        <w:t>203.</w:t>
      </w:r>
    </w:p>
  </w:footnote>
  <w:footnote w:id="17">
    <w:p w14:paraId="247FC523" w14:textId="3931852F" w:rsidR="00932E78" w:rsidRPr="00DF5BF7" w:rsidRDefault="00932E78" w:rsidP="00932E78">
      <w:pPr>
        <w:pStyle w:val="ac"/>
        <w:rPr>
          <w:lang w:val="en-US"/>
        </w:rPr>
      </w:pPr>
      <w:r w:rsidRPr="00814F55">
        <w:rPr>
          <w:rStyle w:val="ae"/>
          <w:lang w:val="en-US"/>
        </w:rPr>
        <w:footnoteRef/>
      </w:r>
      <w:r w:rsidRPr="00814F55">
        <w:rPr>
          <w:lang w:val="en-US"/>
        </w:rPr>
        <w:t xml:space="preserve"> </w:t>
      </w:r>
      <w:r w:rsidR="000711FC" w:rsidRPr="00433BEB">
        <w:rPr>
          <w:lang w:val="en-US"/>
        </w:rPr>
        <w:t>Tamara Eidelman, Uroki istorii: Blokada Leningrada (YouTube Lecture, 2022)</w:t>
      </w:r>
      <w:r w:rsidRPr="00814F55">
        <w:rPr>
          <w:lang w:val="en-US"/>
        </w:rPr>
        <w:t>.</w:t>
      </w:r>
    </w:p>
  </w:footnote>
  <w:footnote w:id="18">
    <w:p w14:paraId="54BA9134" w14:textId="77777777" w:rsidR="00932E78" w:rsidRPr="00814F55" w:rsidRDefault="00932E78" w:rsidP="00932E78">
      <w:pPr>
        <w:pStyle w:val="ac"/>
        <w:rPr>
          <w:lang w:val="en-US"/>
        </w:rPr>
      </w:pPr>
      <w:r w:rsidRPr="00814F55">
        <w:rPr>
          <w:rStyle w:val="ae"/>
          <w:lang w:val="en-US"/>
        </w:rPr>
        <w:footnoteRef/>
      </w:r>
      <w:r w:rsidRPr="00814F55">
        <w:rPr>
          <w:lang w:val="en-US"/>
        </w:rPr>
        <w:t xml:space="preserve"> Lidiya Ginzburg, </w:t>
      </w:r>
      <w:r w:rsidRPr="00814F55">
        <w:rPr>
          <w:i/>
          <w:iCs/>
          <w:lang w:val="en-US"/>
        </w:rPr>
        <w:t>Notes from the Blockade</w:t>
      </w:r>
      <w:r w:rsidRPr="00814F55">
        <w:rPr>
          <w:lang w:val="en-US"/>
        </w:rPr>
        <w:t>,</w:t>
      </w:r>
    </w:p>
  </w:footnote>
  <w:footnote w:id="19">
    <w:p w14:paraId="1461484B" w14:textId="44018D22" w:rsidR="00932E78" w:rsidRPr="00814F55" w:rsidRDefault="00932E78" w:rsidP="00932E78">
      <w:pPr>
        <w:pStyle w:val="ac"/>
        <w:rPr>
          <w:lang w:val="en-US"/>
        </w:rPr>
      </w:pPr>
      <w:r w:rsidRPr="00814F55">
        <w:rPr>
          <w:rStyle w:val="ae"/>
          <w:lang w:val="en-US"/>
        </w:rPr>
        <w:footnoteRef/>
      </w:r>
      <w:r w:rsidRPr="00814F55">
        <w:rPr>
          <w:lang w:val="en-US"/>
        </w:rPr>
        <w:t xml:space="preserve"> </w:t>
      </w:r>
      <w:r w:rsidR="00E76FB6">
        <w:rPr>
          <w:lang w:val="en-US"/>
        </w:rPr>
        <w:t xml:space="preserve">Lisa </w:t>
      </w:r>
      <w:r w:rsidRPr="00814F55">
        <w:rPr>
          <w:lang w:val="en-US"/>
        </w:rPr>
        <w:t xml:space="preserve">Kirschenbaum, </w:t>
      </w:r>
      <w:r w:rsidR="00E76FB6" w:rsidRPr="00E76FB6">
        <w:rPr>
          <w:i/>
          <w:iCs/>
          <w:lang w:val="en-US"/>
        </w:rPr>
        <w:t xml:space="preserve">The Legacy of the Siege of Leningrad, 1941–1995: Myth, Memories, and Monuments. </w:t>
      </w:r>
      <w:r w:rsidR="00E76FB6">
        <w:rPr>
          <w:lang w:val="en-US"/>
        </w:rPr>
        <w:t>(</w:t>
      </w:r>
      <w:r w:rsidR="00E76FB6" w:rsidRPr="00E76FB6">
        <w:rPr>
          <w:lang w:val="en-US"/>
        </w:rPr>
        <w:t>Cambridge University Press</w:t>
      </w:r>
      <w:r w:rsidR="00E76FB6" w:rsidRPr="00E76FB6">
        <w:rPr>
          <w:i/>
          <w:iCs/>
          <w:lang w:val="en-US"/>
        </w:rPr>
        <w:t xml:space="preserve">, </w:t>
      </w:r>
      <w:r w:rsidR="00E76FB6" w:rsidRPr="00E76FB6">
        <w:rPr>
          <w:lang w:val="en-US"/>
        </w:rPr>
        <w:t>2006</w:t>
      </w:r>
      <w:r w:rsidR="00E76FB6">
        <w:rPr>
          <w:lang w:val="en-US"/>
        </w:rPr>
        <w:t>)</w:t>
      </w:r>
      <w:r w:rsidRPr="00814F55">
        <w:rPr>
          <w:lang w:val="en-US"/>
        </w:rPr>
        <w:t xml:space="preserve">, </w:t>
      </w:r>
      <w:r w:rsidR="00E76FB6">
        <w:rPr>
          <w:lang w:val="en-US"/>
        </w:rPr>
        <w:t xml:space="preserve">pp. </w:t>
      </w:r>
      <w:r w:rsidRPr="00814F55">
        <w:rPr>
          <w:lang w:val="en-US"/>
        </w:rPr>
        <w:t>88–95</w:t>
      </w:r>
    </w:p>
  </w:footnote>
  <w:footnote w:id="20">
    <w:p w14:paraId="731F14E6" w14:textId="70B69BA2" w:rsidR="00932E78" w:rsidRPr="00814F55" w:rsidRDefault="00932E78" w:rsidP="00932E78">
      <w:pPr>
        <w:pStyle w:val="ac"/>
        <w:rPr>
          <w:lang w:val="en-US"/>
        </w:rPr>
      </w:pPr>
      <w:r w:rsidRPr="00814F55">
        <w:rPr>
          <w:rStyle w:val="ae"/>
          <w:lang w:val="en-US"/>
        </w:rPr>
        <w:footnoteRef/>
      </w:r>
      <w:r w:rsidRPr="00814F55">
        <w:rPr>
          <w:lang w:val="en-US"/>
        </w:rPr>
        <w:t xml:space="preserve"> </w:t>
      </w:r>
      <w:bookmarkStart w:id="1" w:name="_Hlk215904690"/>
      <w:r w:rsidR="00E76FB6" w:rsidRPr="00E76FB6">
        <w:rPr>
          <w:lang w:val="en-US"/>
        </w:rPr>
        <w:t xml:space="preserve">Richard Bidlack and Nikita Lomagin, The Leningrad Blockade, 1941–1944: A New Documentary History from the Soviet Archives (Yale University Press, 2012), </w:t>
      </w:r>
      <w:r w:rsidR="00E76FB6">
        <w:rPr>
          <w:lang w:val="en-US"/>
        </w:rPr>
        <w:t xml:space="preserve">p. </w:t>
      </w:r>
      <w:r w:rsidRPr="00814F55">
        <w:rPr>
          <w:lang w:val="en-US"/>
        </w:rPr>
        <w:t>119.</w:t>
      </w:r>
      <w:bookmarkEnd w:id="1"/>
    </w:p>
  </w:footnote>
  <w:footnote w:id="21">
    <w:p w14:paraId="0A71A97A" w14:textId="77777777" w:rsidR="00932E78" w:rsidRPr="00814F55" w:rsidRDefault="00932E78" w:rsidP="00932E78">
      <w:pPr>
        <w:pStyle w:val="ac"/>
        <w:rPr>
          <w:lang w:val="en-US"/>
        </w:rPr>
      </w:pPr>
      <w:r w:rsidRPr="00814F55">
        <w:rPr>
          <w:rStyle w:val="ae"/>
          <w:lang w:val="en-US"/>
        </w:rPr>
        <w:footnoteRef/>
      </w:r>
      <w:r w:rsidRPr="00814F55">
        <w:rPr>
          <w:lang w:val="en-US"/>
        </w:rPr>
        <w:t xml:space="preserve"> Ibid., 125–130.</w:t>
      </w:r>
    </w:p>
    <w:p w14:paraId="457F72C7" w14:textId="77777777" w:rsidR="00932E78" w:rsidRPr="00DF5BF7" w:rsidRDefault="00932E78" w:rsidP="00932E78">
      <w:pPr>
        <w:pStyle w:val="ac"/>
        <w:rPr>
          <w:lang w:val="en-US"/>
        </w:rPr>
      </w:pPr>
    </w:p>
  </w:footnote>
  <w:footnote w:id="22">
    <w:p w14:paraId="07856ECF" w14:textId="0CA76E5C" w:rsidR="00932E78" w:rsidRPr="00814F55" w:rsidRDefault="00932E78" w:rsidP="00932E78">
      <w:pPr>
        <w:pStyle w:val="ac"/>
        <w:rPr>
          <w:lang w:val="en-US"/>
        </w:rPr>
      </w:pPr>
      <w:r w:rsidRPr="00814F55">
        <w:rPr>
          <w:rStyle w:val="ae"/>
          <w:lang w:val="en-US"/>
        </w:rPr>
        <w:footnoteRef/>
      </w:r>
      <w:r w:rsidRPr="00814F55">
        <w:rPr>
          <w:lang w:val="en-US"/>
        </w:rPr>
        <w:t xml:space="preserve"> Polina Barskova, </w:t>
      </w:r>
      <w:proofErr w:type="spellStart"/>
      <w:r w:rsidRPr="00814F55">
        <w:rPr>
          <w:i/>
          <w:iCs/>
          <w:lang w:val="en-US"/>
        </w:rPr>
        <w:t>Blokadnoe</w:t>
      </w:r>
      <w:proofErr w:type="spellEnd"/>
      <w:r w:rsidRPr="00814F55">
        <w:rPr>
          <w:i/>
          <w:iCs/>
          <w:lang w:val="en-US"/>
        </w:rPr>
        <w:t xml:space="preserve"> </w:t>
      </w:r>
      <w:proofErr w:type="spellStart"/>
      <w:r w:rsidRPr="00814F55">
        <w:rPr>
          <w:i/>
          <w:iCs/>
          <w:lang w:val="en-US"/>
        </w:rPr>
        <w:t>posle</w:t>
      </w:r>
      <w:proofErr w:type="spellEnd"/>
      <w:r w:rsidRPr="00814F55">
        <w:rPr>
          <w:lang w:val="en-US"/>
        </w:rPr>
        <w:t xml:space="preserve">, </w:t>
      </w:r>
      <w:r w:rsidR="00BF3372">
        <w:rPr>
          <w:lang w:val="en-US"/>
        </w:rPr>
        <w:t>pp. 23-24</w:t>
      </w:r>
    </w:p>
  </w:footnote>
  <w:footnote w:id="23">
    <w:p w14:paraId="24F8B040" w14:textId="67E9D1E9" w:rsidR="00932E78" w:rsidRPr="00E76FB6" w:rsidRDefault="00932E78" w:rsidP="00932E78">
      <w:pPr>
        <w:pStyle w:val="ac"/>
        <w:rPr>
          <w:lang w:val="kk-KZ"/>
        </w:rPr>
      </w:pPr>
      <w:r w:rsidRPr="00814F55">
        <w:rPr>
          <w:rStyle w:val="ae"/>
          <w:lang w:val="en-US"/>
        </w:rPr>
        <w:footnoteRef/>
      </w:r>
      <w:r w:rsidRPr="00814F55">
        <w:rPr>
          <w:lang w:val="en-US"/>
        </w:rPr>
        <w:t xml:space="preserve"> Olga Berggolts, </w:t>
      </w:r>
      <w:r w:rsidR="00BF3372" w:rsidRPr="00BF3372">
        <w:rPr>
          <w:i/>
          <w:iCs/>
          <w:lang w:val="en-US"/>
        </w:rPr>
        <w:t>Forbidden Diary</w:t>
      </w:r>
    </w:p>
  </w:footnote>
  <w:footnote w:id="24">
    <w:p w14:paraId="738E51CD" w14:textId="74DDCE6B" w:rsidR="00932E78" w:rsidRPr="00CC7682" w:rsidRDefault="00932E78" w:rsidP="00932E78">
      <w:pPr>
        <w:pStyle w:val="ac"/>
        <w:rPr>
          <w:lang w:val="en-US"/>
        </w:rPr>
      </w:pPr>
      <w:r w:rsidRPr="00CC7682">
        <w:rPr>
          <w:rStyle w:val="ae"/>
          <w:lang w:val="en-US"/>
        </w:rPr>
        <w:footnoteRef/>
      </w:r>
      <w:r w:rsidRPr="00CC7682">
        <w:rPr>
          <w:lang w:val="en-US"/>
        </w:rPr>
        <w:t xml:space="preserve"> </w:t>
      </w:r>
      <w:r w:rsidR="00E76FB6" w:rsidRPr="00E76FB6">
        <w:rPr>
          <w:lang w:val="en-US"/>
        </w:rPr>
        <w:t>Richard Bidlack and Nikita Lomagin, The Leningrad Blockade, 1941–1944: A New Documentary History from the Soviet Archives (Yale University Press, 2012),</w:t>
      </w:r>
      <w:r w:rsidR="00E76FB6">
        <w:rPr>
          <w:lang w:val="en-US"/>
        </w:rPr>
        <w:t xml:space="preserve"> p. 125.</w:t>
      </w:r>
    </w:p>
  </w:footnote>
  <w:footnote w:id="25">
    <w:p w14:paraId="35E51B69" w14:textId="0499ED18" w:rsidR="00932E78" w:rsidRPr="00CC7682" w:rsidRDefault="00932E78" w:rsidP="00932E78">
      <w:pPr>
        <w:pStyle w:val="ac"/>
        <w:rPr>
          <w:lang w:val="en-US"/>
        </w:rPr>
      </w:pPr>
      <w:r w:rsidRPr="00CC7682">
        <w:rPr>
          <w:rStyle w:val="ae"/>
          <w:lang w:val="en-US"/>
        </w:rPr>
        <w:footnoteRef/>
      </w:r>
      <w:r w:rsidRPr="00CC7682">
        <w:rPr>
          <w:lang w:val="en-US"/>
        </w:rPr>
        <w:t xml:space="preserve"> </w:t>
      </w:r>
      <w:r w:rsidR="00E76FB6">
        <w:rPr>
          <w:lang w:val="en-US"/>
        </w:rPr>
        <w:t>Ibid. p. 128</w:t>
      </w:r>
      <w:r w:rsidRPr="00CC7682">
        <w:rPr>
          <w:lang w:val="en-US"/>
        </w:rPr>
        <w:t>.</w:t>
      </w:r>
    </w:p>
  </w:footnote>
  <w:footnote w:id="26">
    <w:p w14:paraId="31596163" w14:textId="2C5929B9" w:rsidR="00932E78" w:rsidRPr="00CC7682" w:rsidRDefault="00932E78" w:rsidP="00932E78">
      <w:pPr>
        <w:pStyle w:val="ac"/>
        <w:rPr>
          <w:lang w:val="en-US"/>
        </w:rPr>
      </w:pPr>
      <w:r w:rsidRPr="00CC7682">
        <w:rPr>
          <w:rStyle w:val="ae"/>
          <w:lang w:val="en-US"/>
        </w:rPr>
        <w:footnoteRef/>
      </w:r>
      <w:r w:rsidRPr="00CC7682">
        <w:rPr>
          <w:lang w:val="en-US"/>
        </w:rPr>
        <w:t xml:space="preserve"> </w:t>
      </w:r>
      <w:r w:rsidR="00E76FB6" w:rsidRPr="00E76FB6">
        <w:rPr>
          <w:lang w:val="en-US"/>
        </w:rPr>
        <w:t>Lidiya Ginzburg, Blockade Diary (Harvill Press, 1995)</w:t>
      </w:r>
    </w:p>
  </w:footnote>
  <w:footnote w:id="27">
    <w:p w14:paraId="4CF9EF6D" w14:textId="1E282F77" w:rsidR="00932E78" w:rsidRPr="00CC7682" w:rsidRDefault="00932E78" w:rsidP="00932E78">
      <w:pPr>
        <w:pStyle w:val="ac"/>
        <w:rPr>
          <w:lang w:val="en-US"/>
        </w:rPr>
      </w:pPr>
      <w:r w:rsidRPr="00CC7682">
        <w:rPr>
          <w:rStyle w:val="ae"/>
          <w:lang w:val="en-US"/>
        </w:rPr>
        <w:footnoteRef/>
      </w:r>
      <w:r w:rsidRPr="00CC7682">
        <w:rPr>
          <w:lang w:val="en-US"/>
        </w:rPr>
        <w:t xml:space="preserve"> </w:t>
      </w:r>
      <w:r w:rsidR="005B0B2E" w:rsidRPr="002D6658">
        <w:rPr>
          <w:lang w:val="en-US"/>
        </w:rPr>
        <w:t xml:space="preserve">Alexis Peri, </w:t>
      </w:r>
      <w:r w:rsidR="005B0B2E" w:rsidRPr="002D6658">
        <w:rPr>
          <w:i/>
          <w:iCs/>
          <w:lang w:val="en-US"/>
        </w:rPr>
        <w:t>The War Within: Diaries from the Siege of Leningrad</w:t>
      </w:r>
      <w:r w:rsidR="005B0B2E" w:rsidRPr="002D6658">
        <w:rPr>
          <w:lang w:val="en-US"/>
        </w:rPr>
        <w:t xml:space="preserve"> (Harvard University Press, 2017)</w:t>
      </w:r>
      <w:r w:rsidR="005B0B2E">
        <w:rPr>
          <w:lang w:val="en-US"/>
        </w:rPr>
        <w:t xml:space="preserve"> p.</w:t>
      </w:r>
      <w:r w:rsidRPr="00CC7682">
        <w:rPr>
          <w:i/>
          <w:iCs/>
          <w:lang w:val="en-US"/>
        </w:rPr>
        <w:t xml:space="preserve"> </w:t>
      </w:r>
      <w:r w:rsidRPr="00CC7682">
        <w:rPr>
          <w:lang w:val="en-US"/>
        </w:rPr>
        <w:t>214.</w:t>
      </w:r>
    </w:p>
  </w:footnote>
  <w:footnote w:id="28">
    <w:p w14:paraId="2B6307FC" w14:textId="676B2787" w:rsidR="00932E78" w:rsidRPr="00CC7682" w:rsidRDefault="00932E78" w:rsidP="00932E78">
      <w:pPr>
        <w:pStyle w:val="ac"/>
        <w:rPr>
          <w:lang w:val="en-US"/>
        </w:rPr>
      </w:pPr>
      <w:r w:rsidRPr="00CC7682">
        <w:rPr>
          <w:rStyle w:val="ae"/>
          <w:lang w:val="en-US"/>
        </w:rPr>
        <w:footnoteRef/>
      </w:r>
      <w:r w:rsidRPr="00CC7682">
        <w:rPr>
          <w:lang w:val="en-US"/>
        </w:rPr>
        <w:t xml:space="preserve"> Polina Barskova, </w:t>
      </w:r>
      <w:proofErr w:type="spellStart"/>
      <w:r w:rsidRPr="00E76FB6">
        <w:rPr>
          <w:i/>
          <w:iCs/>
          <w:lang w:val="en-US"/>
        </w:rPr>
        <w:t>Blokadnoe</w:t>
      </w:r>
      <w:proofErr w:type="spellEnd"/>
      <w:r w:rsidRPr="00E76FB6">
        <w:rPr>
          <w:i/>
          <w:iCs/>
          <w:lang w:val="en-US"/>
        </w:rPr>
        <w:t xml:space="preserve"> </w:t>
      </w:r>
      <w:proofErr w:type="spellStart"/>
      <w:r w:rsidRPr="00E76FB6">
        <w:rPr>
          <w:i/>
          <w:iCs/>
          <w:lang w:val="en-US"/>
        </w:rPr>
        <w:t>posle</w:t>
      </w:r>
      <w:proofErr w:type="spellEnd"/>
      <w:r w:rsidR="00E76FB6">
        <w:rPr>
          <w:lang w:val="en-US"/>
        </w:rPr>
        <w:t>, p. 13</w:t>
      </w:r>
    </w:p>
  </w:footnote>
  <w:footnote w:id="29">
    <w:p w14:paraId="11360ACB" w14:textId="524A0B6F" w:rsidR="00932E78" w:rsidRPr="00CC7682" w:rsidRDefault="00932E78" w:rsidP="00932E78">
      <w:pPr>
        <w:pStyle w:val="ac"/>
        <w:rPr>
          <w:lang w:val="en-US"/>
        </w:rPr>
      </w:pPr>
      <w:r w:rsidRPr="00CC7682">
        <w:rPr>
          <w:rStyle w:val="ae"/>
          <w:lang w:val="en-US"/>
        </w:rPr>
        <w:footnoteRef/>
      </w:r>
      <w:r w:rsidRPr="00CC7682">
        <w:rPr>
          <w:lang w:val="en-US"/>
        </w:rPr>
        <w:t xml:space="preserve"> </w:t>
      </w:r>
      <w:r w:rsidR="00122C56" w:rsidRPr="00433BEB">
        <w:rPr>
          <w:lang w:val="en-US"/>
        </w:rPr>
        <w:t xml:space="preserve">Nina Tumarkin, </w:t>
      </w:r>
      <w:r w:rsidR="00122C56" w:rsidRPr="00433BEB">
        <w:rPr>
          <w:rStyle w:val="af"/>
          <w:lang w:val="en-US"/>
        </w:rPr>
        <w:t>The Living and the Dead: The Rise and Fall of the Cult of World War II in Russia</w:t>
      </w:r>
      <w:r w:rsidR="00122C56" w:rsidRPr="00433BEB">
        <w:rPr>
          <w:lang w:val="en-US"/>
        </w:rPr>
        <w:t xml:space="preserve"> (Basic Books, 1994),</w:t>
      </w:r>
      <w:r w:rsidR="00122C56">
        <w:rPr>
          <w:lang w:val="en-US"/>
        </w:rPr>
        <w:t xml:space="preserve"> p. </w:t>
      </w:r>
      <w:r w:rsidRPr="00CC7682">
        <w:rPr>
          <w:lang w:val="en-US"/>
        </w:rPr>
        <w:t>125.</w:t>
      </w:r>
    </w:p>
  </w:footnote>
  <w:footnote w:id="30">
    <w:p w14:paraId="6148C2B8" w14:textId="57B3DB0A" w:rsidR="00932E78" w:rsidRPr="00814F55" w:rsidRDefault="00932E78" w:rsidP="00932E78">
      <w:pPr>
        <w:pStyle w:val="ac"/>
        <w:rPr>
          <w:lang w:val="en-US"/>
        </w:rPr>
      </w:pPr>
      <w:r w:rsidRPr="00CC7682">
        <w:rPr>
          <w:rStyle w:val="ae"/>
          <w:lang w:val="en-US"/>
        </w:rPr>
        <w:footnoteRef/>
      </w:r>
      <w:r w:rsidRPr="00CC7682">
        <w:rPr>
          <w:lang w:val="en-US"/>
        </w:rPr>
        <w:t xml:space="preserve"> </w:t>
      </w:r>
      <w:proofErr w:type="spellStart"/>
      <w:r w:rsidR="00E76FB6">
        <w:rPr>
          <w:lang w:val="en-US"/>
        </w:rPr>
        <w:t>Ibid.</w:t>
      </w:r>
      <w:r w:rsidRPr="00CC7682">
        <w:rPr>
          <w:i/>
          <w:iCs/>
          <w:lang w:val="en-US"/>
        </w:rPr>
        <w:t>,</w:t>
      </w:r>
      <w:r w:rsidR="00E76FB6">
        <w:rPr>
          <w:lang w:val="en-US"/>
        </w:rPr>
        <w:t>pp</w:t>
      </w:r>
      <w:proofErr w:type="spellEnd"/>
      <w:r w:rsidR="00E76FB6">
        <w:rPr>
          <w:lang w:val="en-US"/>
        </w:rPr>
        <w:t>. 1</w:t>
      </w:r>
      <w:r w:rsidRPr="00CC7682">
        <w:rPr>
          <w:lang w:val="en-US"/>
        </w:rPr>
        <w:t>40-145</w:t>
      </w:r>
    </w:p>
  </w:footnote>
  <w:footnote w:id="31">
    <w:p w14:paraId="3F62F6CB" w14:textId="54188019" w:rsidR="00932E78" w:rsidRPr="00814F55" w:rsidRDefault="00932E78" w:rsidP="00932E78">
      <w:pPr>
        <w:pStyle w:val="ac"/>
        <w:rPr>
          <w:lang w:val="en-US"/>
        </w:rPr>
      </w:pPr>
      <w:r w:rsidRPr="00814F55">
        <w:rPr>
          <w:rStyle w:val="ae"/>
          <w:lang w:val="en-US"/>
        </w:rPr>
        <w:footnoteRef/>
      </w:r>
      <w:r w:rsidRPr="00814F55">
        <w:rPr>
          <w:lang w:val="en-US"/>
        </w:rPr>
        <w:t xml:space="preserve"> </w:t>
      </w:r>
      <w:r w:rsidR="00E76FB6">
        <w:rPr>
          <w:lang w:val="en-US"/>
        </w:rPr>
        <w:t xml:space="preserve">Polina </w:t>
      </w:r>
      <w:r w:rsidRPr="00814F55">
        <w:rPr>
          <w:lang w:val="en-US"/>
        </w:rPr>
        <w:t xml:space="preserve">Barskova, </w:t>
      </w:r>
      <w:proofErr w:type="spellStart"/>
      <w:r w:rsidRPr="00814F55">
        <w:rPr>
          <w:i/>
          <w:iCs/>
          <w:lang w:val="en-US"/>
        </w:rPr>
        <w:t>Blokadnoe</w:t>
      </w:r>
      <w:proofErr w:type="spellEnd"/>
      <w:r w:rsidRPr="00814F55">
        <w:rPr>
          <w:i/>
          <w:iCs/>
          <w:lang w:val="en-US"/>
        </w:rPr>
        <w:t xml:space="preserve"> </w:t>
      </w:r>
      <w:proofErr w:type="spellStart"/>
      <w:r w:rsidRPr="00814F55">
        <w:rPr>
          <w:i/>
          <w:iCs/>
          <w:lang w:val="en-US"/>
        </w:rPr>
        <w:t>posle</w:t>
      </w:r>
      <w:proofErr w:type="spellEnd"/>
      <w:r w:rsidRPr="00814F55">
        <w:rPr>
          <w:lang w:val="en-US"/>
        </w:rPr>
        <w:t xml:space="preserve">, </w:t>
      </w:r>
      <w:r w:rsidR="00E76FB6">
        <w:rPr>
          <w:lang w:val="en-US"/>
        </w:rPr>
        <w:t xml:space="preserve">p. </w:t>
      </w:r>
      <w:r w:rsidRPr="00814F55">
        <w:rPr>
          <w:lang w:val="en-US"/>
        </w:rPr>
        <w:t>15.</w:t>
      </w:r>
    </w:p>
  </w:footnote>
  <w:footnote w:id="32">
    <w:p w14:paraId="52A29D71" w14:textId="51B0F49A" w:rsidR="00932E78" w:rsidRPr="000711FC" w:rsidRDefault="00932E78" w:rsidP="00932E78">
      <w:pPr>
        <w:pStyle w:val="ac"/>
        <w:rPr>
          <w:lang w:val="en-US"/>
        </w:rPr>
      </w:pPr>
      <w:r w:rsidRPr="00814F55">
        <w:rPr>
          <w:rStyle w:val="ae"/>
          <w:lang w:val="en-US"/>
        </w:rPr>
        <w:footnoteRef/>
      </w:r>
      <w:r w:rsidRPr="00814F55">
        <w:rPr>
          <w:lang w:val="en-US"/>
        </w:rPr>
        <w:t xml:space="preserve"> </w:t>
      </w:r>
      <w:r w:rsidR="005B0B2E" w:rsidRPr="002D6658">
        <w:rPr>
          <w:lang w:val="en-US"/>
        </w:rPr>
        <w:t xml:space="preserve">Alexis Peri, </w:t>
      </w:r>
      <w:r w:rsidR="005B0B2E" w:rsidRPr="002D6658">
        <w:rPr>
          <w:i/>
          <w:iCs/>
          <w:lang w:val="en-US"/>
        </w:rPr>
        <w:t>The War Within: Diaries from the Siege of Leningrad</w:t>
      </w:r>
      <w:r w:rsidR="005B0B2E" w:rsidRPr="002D6658">
        <w:rPr>
          <w:lang w:val="en-US"/>
        </w:rPr>
        <w:t xml:space="preserve"> (Harvard University Press, 2017)</w:t>
      </w:r>
      <w:r w:rsidR="000711FC">
        <w:rPr>
          <w:i/>
          <w:iCs/>
          <w:lang w:val="en-US"/>
        </w:rPr>
        <w:t xml:space="preserve">, </w:t>
      </w:r>
      <w:r w:rsidR="000711FC">
        <w:rPr>
          <w:lang w:val="en-US"/>
        </w:rPr>
        <w:t>p. 98</w:t>
      </w:r>
    </w:p>
  </w:footnote>
  <w:footnote w:id="33">
    <w:p w14:paraId="437ECDC5" w14:textId="77777777" w:rsidR="00932E78" w:rsidRPr="00814F55" w:rsidRDefault="00932E78" w:rsidP="00932E78">
      <w:pPr>
        <w:pStyle w:val="ac"/>
        <w:rPr>
          <w:lang w:val="en-US"/>
        </w:rPr>
      </w:pPr>
      <w:r w:rsidRPr="00814F55">
        <w:rPr>
          <w:rStyle w:val="ae"/>
          <w:lang w:val="en-US"/>
        </w:rPr>
        <w:footnoteRef/>
      </w:r>
      <w:r w:rsidRPr="00814F55">
        <w:rPr>
          <w:lang w:val="en-US"/>
        </w:rPr>
        <w:t xml:space="preserve"> Daniil Granin and Ales Adamovich, </w:t>
      </w:r>
      <w:r w:rsidRPr="00814F55">
        <w:rPr>
          <w:i/>
          <w:iCs/>
          <w:lang w:val="en-US"/>
        </w:rPr>
        <w:t>The Blockade Book</w:t>
      </w:r>
    </w:p>
  </w:footnote>
  <w:footnote w:id="34">
    <w:p w14:paraId="72A8D09C" w14:textId="4EB3EBDB" w:rsidR="00932E78" w:rsidRPr="00DF5BF7" w:rsidRDefault="00932E78" w:rsidP="00932E78">
      <w:pPr>
        <w:pStyle w:val="ac"/>
        <w:rPr>
          <w:lang w:val="en-US"/>
        </w:rPr>
      </w:pPr>
      <w:r w:rsidRPr="00814F55">
        <w:rPr>
          <w:rStyle w:val="ae"/>
          <w:lang w:val="en-US"/>
        </w:rPr>
        <w:footnoteRef/>
      </w:r>
      <w:r w:rsidRPr="00814F55">
        <w:rPr>
          <w:lang w:val="en-US"/>
        </w:rPr>
        <w:t xml:space="preserve"> </w:t>
      </w:r>
      <w:r w:rsidR="000711FC" w:rsidRPr="00814F55">
        <w:rPr>
          <w:lang w:val="en-US"/>
        </w:rPr>
        <w:t xml:space="preserve">Evgeny Dobrenko, “Ideological Comfort,” in Barskova, </w:t>
      </w:r>
      <w:proofErr w:type="spellStart"/>
      <w:r w:rsidR="000711FC" w:rsidRPr="00814F55">
        <w:rPr>
          <w:i/>
          <w:iCs/>
          <w:lang w:val="en-US"/>
        </w:rPr>
        <w:t>Blokadnoe</w:t>
      </w:r>
      <w:proofErr w:type="spellEnd"/>
      <w:r w:rsidR="000711FC" w:rsidRPr="00814F55">
        <w:rPr>
          <w:i/>
          <w:iCs/>
          <w:lang w:val="en-US"/>
        </w:rPr>
        <w:t xml:space="preserve"> </w:t>
      </w:r>
      <w:proofErr w:type="spellStart"/>
      <w:r w:rsidR="000711FC" w:rsidRPr="00814F55">
        <w:rPr>
          <w:i/>
          <w:iCs/>
          <w:lang w:val="en-US"/>
        </w:rPr>
        <w:t>posle</w:t>
      </w:r>
      <w:proofErr w:type="spellEnd"/>
      <w:r w:rsidR="000711FC" w:rsidRPr="00814F55">
        <w:rPr>
          <w:lang w:val="en-US"/>
        </w:rPr>
        <w:t xml:space="preserve">, </w:t>
      </w:r>
      <w:r w:rsidR="000711FC">
        <w:rPr>
          <w:lang w:val="en-US"/>
        </w:rPr>
        <w:t xml:space="preserve">p. </w:t>
      </w:r>
      <w:r w:rsidR="000711FC" w:rsidRPr="00814F55">
        <w:rPr>
          <w:lang w:val="en-US"/>
        </w:rPr>
        <w:t>203.</w:t>
      </w:r>
    </w:p>
  </w:footnote>
  <w:footnote w:id="35">
    <w:p w14:paraId="4F0E3365" w14:textId="6B45D2F9" w:rsidR="000B7412" w:rsidRPr="008F5166" w:rsidRDefault="000B7412" w:rsidP="000B7412">
      <w:pPr>
        <w:pStyle w:val="ac"/>
        <w:rPr>
          <w:lang w:val="en-US"/>
        </w:rPr>
      </w:pPr>
      <w:r>
        <w:rPr>
          <w:rStyle w:val="ae"/>
        </w:rPr>
        <w:footnoteRef/>
      </w:r>
      <w:r w:rsidR="00E76FB6">
        <w:t xml:space="preserve"> </w:t>
      </w:r>
      <w:proofErr w:type="spellStart"/>
      <w:r w:rsidR="00E76FB6">
        <w:t>Lena</w:t>
      </w:r>
      <w:proofErr w:type="spellEnd"/>
      <w:r w:rsidR="00E76FB6">
        <w:t xml:space="preserve"> </w:t>
      </w:r>
      <w:proofErr w:type="spellStart"/>
      <w:r w:rsidR="00E76FB6">
        <w:t>Mukhina</w:t>
      </w:r>
      <w:proofErr w:type="spellEnd"/>
      <w:r w:rsidR="00E76FB6">
        <w:t xml:space="preserve">, </w:t>
      </w:r>
      <w:r w:rsidR="00E76FB6" w:rsidRPr="00E76FB6">
        <w:rPr>
          <w:i/>
          <w:iCs/>
        </w:rPr>
        <w:t xml:space="preserve">The </w:t>
      </w:r>
      <w:proofErr w:type="spellStart"/>
      <w:r w:rsidR="00E76FB6" w:rsidRPr="00E76FB6">
        <w:rPr>
          <w:i/>
          <w:iCs/>
        </w:rPr>
        <w:t>Diary</w:t>
      </w:r>
      <w:proofErr w:type="spellEnd"/>
      <w:r w:rsidR="00E76FB6" w:rsidRPr="00E76FB6">
        <w:rPr>
          <w:i/>
          <w:iCs/>
        </w:rPr>
        <w:t xml:space="preserve"> of </w:t>
      </w:r>
      <w:proofErr w:type="spellStart"/>
      <w:r w:rsidR="00E76FB6" w:rsidRPr="00E76FB6">
        <w:rPr>
          <w:i/>
          <w:iCs/>
        </w:rPr>
        <w:t>Lena</w:t>
      </w:r>
      <w:proofErr w:type="spellEnd"/>
      <w:r w:rsidR="00E76FB6" w:rsidRPr="00E76FB6">
        <w:rPr>
          <w:i/>
          <w:iCs/>
        </w:rPr>
        <w:t xml:space="preserve"> </w:t>
      </w:r>
      <w:proofErr w:type="spellStart"/>
      <w:r w:rsidR="00E76FB6" w:rsidRPr="00E76FB6">
        <w:rPr>
          <w:i/>
          <w:iCs/>
        </w:rPr>
        <w:t>Mukhina</w:t>
      </w:r>
      <w:proofErr w:type="spellEnd"/>
      <w:r w:rsidR="00E76FB6" w:rsidRPr="00E76FB6">
        <w:rPr>
          <w:i/>
          <w:iCs/>
        </w:rPr>
        <w:t xml:space="preserve">: A </w:t>
      </w:r>
      <w:proofErr w:type="spellStart"/>
      <w:r w:rsidR="00E76FB6" w:rsidRPr="00E76FB6">
        <w:rPr>
          <w:i/>
          <w:iCs/>
        </w:rPr>
        <w:t>Girl's</w:t>
      </w:r>
      <w:proofErr w:type="spellEnd"/>
      <w:r w:rsidR="00E76FB6" w:rsidRPr="00E76FB6">
        <w:rPr>
          <w:i/>
          <w:iCs/>
        </w:rPr>
        <w:t xml:space="preserve"> Life </w:t>
      </w:r>
      <w:proofErr w:type="spellStart"/>
      <w:r w:rsidR="00E76FB6" w:rsidRPr="00E76FB6">
        <w:rPr>
          <w:i/>
          <w:iCs/>
        </w:rPr>
        <w:t>in</w:t>
      </w:r>
      <w:proofErr w:type="spellEnd"/>
      <w:r w:rsidR="00E76FB6" w:rsidRPr="00E76FB6">
        <w:rPr>
          <w:i/>
          <w:iCs/>
        </w:rPr>
        <w:t xml:space="preserve"> </w:t>
      </w:r>
      <w:proofErr w:type="spellStart"/>
      <w:r w:rsidR="00E76FB6" w:rsidRPr="00E76FB6">
        <w:rPr>
          <w:i/>
          <w:iCs/>
        </w:rPr>
        <w:t>the</w:t>
      </w:r>
      <w:proofErr w:type="spellEnd"/>
      <w:r w:rsidR="00E76FB6" w:rsidRPr="00E76FB6">
        <w:rPr>
          <w:i/>
          <w:iCs/>
        </w:rPr>
        <w:t xml:space="preserve"> Siege of Leningrad</w:t>
      </w:r>
      <w:r w:rsidR="00E76FB6">
        <w:t>, p. 46</w:t>
      </w:r>
    </w:p>
  </w:footnote>
  <w:footnote w:id="36">
    <w:p w14:paraId="6ED67A3D" w14:textId="1D5A96A0" w:rsidR="000B7412" w:rsidRPr="008F5166" w:rsidRDefault="000B7412" w:rsidP="000B7412">
      <w:pPr>
        <w:pStyle w:val="ac"/>
        <w:rPr>
          <w:lang w:val="en-US"/>
        </w:rPr>
      </w:pPr>
      <w:r>
        <w:rPr>
          <w:rStyle w:val="ae"/>
        </w:rPr>
        <w:footnoteRef/>
      </w:r>
      <w:r>
        <w:t xml:space="preserve"> </w:t>
      </w:r>
      <w:r w:rsidR="00E76FB6" w:rsidRPr="00E76FB6">
        <w:rPr>
          <w:lang w:val="en-US"/>
        </w:rPr>
        <w:t xml:space="preserve">Lidiya Ginzburg, </w:t>
      </w:r>
      <w:r w:rsidR="00E76FB6" w:rsidRPr="00E76FB6">
        <w:rPr>
          <w:i/>
          <w:iCs/>
          <w:lang w:val="en-US"/>
        </w:rPr>
        <w:t>Blockade Diary</w:t>
      </w:r>
      <w:r w:rsidR="00E76FB6" w:rsidRPr="00E76FB6">
        <w:rPr>
          <w:lang w:val="en-US"/>
        </w:rPr>
        <w:t xml:space="preserve"> (Harvill Press, 1995)</w:t>
      </w:r>
      <w:r w:rsidR="00E76FB6">
        <w:rPr>
          <w:lang w:val="en-US"/>
        </w:rPr>
        <w:t>, p. 67.</w:t>
      </w:r>
    </w:p>
  </w:footnote>
  <w:footnote w:id="37">
    <w:p w14:paraId="7DCFB91E" w14:textId="5CA0094F" w:rsidR="00B741D8" w:rsidRPr="00B741D8" w:rsidRDefault="00B741D8">
      <w:pPr>
        <w:pStyle w:val="ac"/>
        <w:rPr>
          <w:lang w:val="en-US"/>
        </w:rPr>
      </w:pPr>
      <w:r>
        <w:rPr>
          <w:rStyle w:val="ae"/>
        </w:rPr>
        <w:footnoteRef/>
      </w:r>
      <w:r>
        <w:t xml:space="preserve"> </w:t>
      </w:r>
      <w:r w:rsidR="00E76FB6" w:rsidRPr="00E76FB6">
        <w:rPr>
          <w:lang w:val="en-US"/>
        </w:rPr>
        <w:t>Lena Mukhina</w:t>
      </w:r>
      <w:r w:rsidR="00E76FB6" w:rsidRPr="00E76FB6">
        <w:rPr>
          <w:i/>
          <w:iCs/>
          <w:lang w:val="en-US"/>
        </w:rPr>
        <w:t>, The Diary of Lena Mukhina: A Girl's Life in the Siege of Leningrad</w:t>
      </w:r>
      <w:r w:rsidR="00E76FB6" w:rsidRPr="00E76FB6">
        <w:rPr>
          <w:lang w:val="en-US"/>
        </w:rPr>
        <w:t xml:space="preserve">, p. </w:t>
      </w:r>
      <w:r>
        <w:rPr>
          <w:lang w:val="en-US"/>
        </w:rPr>
        <w:t>48</w:t>
      </w:r>
    </w:p>
  </w:footnote>
  <w:footnote w:id="38">
    <w:p w14:paraId="6600474D" w14:textId="2CF1AB7A" w:rsidR="00B741D8" w:rsidRPr="00B741D8" w:rsidRDefault="00B741D8">
      <w:pPr>
        <w:pStyle w:val="ac"/>
        <w:rPr>
          <w:lang w:val="en-US"/>
        </w:rPr>
      </w:pPr>
      <w:r>
        <w:rPr>
          <w:rStyle w:val="ae"/>
        </w:rPr>
        <w:footnoteRef/>
      </w:r>
      <w:r>
        <w:t xml:space="preserve"> </w:t>
      </w:r>
      <w:r w:rsidR="00E76FB6" w:rsidRPr="00E76FB6">
        <w:rPr>
          <w:lang w:val="en-US"/>
        </w:rPr>
        <w:t xml:space="preserve">Lidiya Ginzburg, </w:t>
      </w:r>
      <w:r w:rsidR="00E76FB6" w:rsidRPr="00E76FB6">
        <w:rPr>
          <w:i/>
          <w:iCs/>
          <w:lang w:val="en-US"/>
        </w:rPr>
        <w:t>Blockade Diary</w:t>
      </w:r>
      <w:r w:rsidR="00E76FB6" w:rsidRPr="00E76FB6">
        <w:rPr>
          <w:lang w:val="en-US"/>
        </w:rPr>
        <w:t xml:space="preserve"> (Harvill Press, 1995), p.</w:t>
      </w:r>
      <w:r w:rsidR="00E76FB6">
        <w:rPr>
          <w:lang w:val="en-US"/>
        </w:rPr>
        <w:t xml:space="preserve"> 70.</w:t>
      </w:r>
    </w:p>
  </w:footnote>
  <w:footnote w:id="39">
    <w:p w14:paraId="728E9B1C" w14:textId="1C369900" w:rsidR="00234CA8" w:rsidRPr="00234CA8" w:rsidRDefault="00234CA8">
      <w:pPr>
        <w:pStyle w:val="ac"/>
        <w:rPr>
          <w:lang w:val="en-US"/>
        </w:rPr>
      </w:pPr>
      <w:r>
        <w:rPr>
          <w:rStyle w:val="ae"/>
        </w:rPr>
        <w:footnoteRef/>
      </w:r>
      <w:r>
        <w:t xml:space="preserve"> </w:t>
      </w:r>
      <w:r w:rsidR="005B0B2E" w:rsidRPr="002D6658">
        <w:rPr>
          <w:lang w:val="en-US"/>
        </w:rPr>
        <w:t xml:space="preserve">Alexis Peri, </w:t>
      </w:r>
      <w:r w:rsidR="005B0B2E" w:rsidRPr="002D6658">
        <w:rPr>
          <w:i/>
          <w:iCs/>
          <w:lang w:val="en-US"/>
        </w:rPr>
        <w:t>The War Within: Diaries from the Siege of Leningrad</w:t>
      </w:r>
      <w:r w:rsidR="005B0B2E" w:rsidRPr="002D6658">
        <w:rPr>
          <w:lang w:val="en-US"/>
        </w:rPr>
        <w:t xml:space="preserve"> (Harvard University Press, 2017)</w:t>
      </w:r>
      <w:r w:rsidR="000711FC">
        <w:rPr>
          <w:lang w:val="en-US"/>
        </w:rPr>
        <w:t>, p. 123</w:t>
      </w:r>
    </w:p>
  </w:footnote>
  <w:footnote w:id="40">
    <w:p w14:paraId="53098AAD" w14:textId="05DE2816" w:rsidR="00234CA8" w:rsidRPr="000711FC" w:rsidRDefault="00234CA8">
      <w:pPr>
        <w:pStyle w:val="ac"/>
        <w:rPr>
          <w:lang w:val="en-US"/>
        </w:rPr>
      </w:pPr>
      <w:r>
        <w:rPr>
          <w:rStyle w:val="ae"/>
        </w:rPr>
        <w:footnoteRef/>
      </w:r>
      <w:r>
        <w:t xml:space="preserve"> </w:t>
      </w:r>
      <w:r w:rsidR="000711FC" w:rsidRPr="00E76FB6">
        <w:rPr>
          <w:lang w:val="en-US"/>
        </w:rPr>
        <w:t>Lena Mukhina</w:t>
      </w:r>
      <w:r w:rsidR="000711FC" w:rsidRPr="00E76FB6">
        <w:rPr>
          <w:i/>
          <w:iCs/>
          <w:lang w:val="en-US"/>
        </w:rPr>
        <w:t>, The Diary of Lena Mukhina: A Girl's Life in the Siege of Leningrad</w:t>
      </w:r>
      <w:r w:rsidR="000711FC">
        <w:rPr>
          <w:i/>
          <w:iCs/>
          <w:lang w:val="en-US"/>
        </w:rPr>
        <w:t xml:space="preserve">, </w:t>
      </w:r>
      <w:r w:rsidR="000711FC">
        <w:rPr>
          <w:lang w:val="en-US"/>
        </w:rPr>
        <w:t>p. 54.</w:t>
      </w:r>
    </w:p>
  </w:footnote>
  <w:footnote w:id="41">
    <w:p w14:paraId="63F14F5D" w14:textId="31944E17" w:rsidR="00234CA8" w:rsidRPr="00234CA8" w:rsidRDefault="00234CA8">
      <w:pPr>
        <w:pStyle w:val="ac"/>
        <w:rPr>
          <w:lang w:val="en-US"/>
        </w:rPr>
      </w:pPr>
      <w:r>
        <w:rPr>
          <w:rStyle w:val="ae"/>
        </w:rPr>
        <w:footnoteRef/>
      </w:r>
      <w:r>
        <w:t xml:space="preserve"> </w:t>
      </w:r>
      <w:r w:rsidR="005B0B2E" w:rsidRPr="002D6658">
        <w:rPr>
          <w:lang w:val="en-US"/>
        </w:rPr>
        <w:t xml:space="preserve">Alexis Peri, </w:t>
      </w:r>
      <w:r w:rsidR="005B0B2E" w:rsidRPr="002D6658">
        <w:rPr>
          <w:i/>
          <w:iCs/>
          <w:lang w:val="en-US"/>
        </w:rPr>
        <w:t>The War Within: Diaries from the Siege of Leningrad</w:t>
      </w:r>
      <w:r w:rsidR="005B0B2E" w:rsidRPr="002D6658">
        <w:rPr>
          <w:lang w:val="en-US"/>
        </w:rPr>
        <w:t xml:space="preserve"> (Harvard University Press, 2017)</w:t>
      </w:r>
      <w:r w:rsidR="000711FC">
        <w:rPr>
          <w:lang w:val="en-US"/>
        </w:rPr>
        <w:t>, p. 105</w:t>
      </w:r>
    </w:p>
  </w:footnote>
  <w:footnote w:id="42">
    <w:p w14:paraId="326FD3C0" w14:textId="407F3426" w:rsidR="00DD74CA" w:rsidRPr="00DD74CA" w:rsidRDefault="00DD74CA">
      <w:pPr>
        <w:pStyle w:val="ac"/>
        <w:rPr>
          <w:lang w:val="en-US"/>
        </w:rPr>
      </w:pPr>
      <w:r>
        <w:rPr>
          <w:rStyle w:val="ae"/>
        </w:rPr>
        <w:footnoteRef/>
      </w:r>
      <w:r>
        <w:t xml:space="preserve"> </w:t>
      </w:r>
      <w:r w:rsidR="000711FC" w:rsidRPr="000711FC">
        <w:rPr>
          <w:lang w:val="en-US"/>
        </w:rPr>
        <w:t xml:space="preserve">Lena Mukhina, </w:t>
      </w:r>
      <w:r w:rsidR="000711FC" w:rsidRPr="000711FC">
        <w:rPr>
          <w:i/>
          <w:iCs/>
          <w:lang w:val="en-US"/>
        </w:rPr>
        <w:t>The Diary of Lena Mukhina: A Girl's Life in the Siege of Leningrad</w:t>
      </w:r>
      <w:r w:rsidR="000711FC">
        <w:rPr>
          <w:lang w:val="en-US"/>
        </w:rPr>
        <w:t>, p. 56</w:t>
      </w:r>
    </w:p>
  </w:footnote>
  <w:footnote w:id="43">
    <w:p w14:paraId="494E2FE9" w14:textId="735DF302" w:rsidR="00DD74CA" w:rsidRPr="00DD74CA" w:rsidRDefault="00DD74CA">
      <w:pPr>
        <w:pStyle w:val="ac"/>
        <w:rPr>
          <w:lang w:val="en-US"/>
        </w:rPr>
      </w:pPr>
      <w:r>
        <w:rPr>
          <w:rStyle w:val="ae"/>
        </w:rPr>
        <w:footnoteRef/>
      </w:r>
      <w:r>
        <w:t xml:space="preserve"> </w:t>
      </w:r>
      <w:r w:rsidR="000711FC">
        <w:rPr>
          <w:lang w:val="en-US"/>
        </w:rPr>
        <w:t>Ibid., p. 56.</w:t>
      </w:r>
    </w:p>
  </w:footnote>
  <w:footnote w:id="44">
    <w:p w14:paraId="5A9AF962" w14:textId="4EBAE7DD" w:rsidR="00C20ED1" w:rsidRPr="00C20ED1" w:rsidRDefault="00C20ED1">
      <w:pPr>
        <w:pStyle w:val="ac"/>
        <w:rPr>
          <w:lang w:val="en-US"/>
        </w:rPr>
      </w:pPr>
      <w:r>
        <w:rPr>
          <w:rStyle w:val="ae"/>
        </w:rPr>
        <w:footnoteRef/>
      </w:r>
      <w:r>
        <w:t xml:space="preserve"> </w:t>
      </w:r>
      <w:r w:rsidR="000711FC">
        <w:rPr>
          <w:lang w:val="en-US"/>
        </w:rPr>
        <w:t>Ibid., p. 60.</w:t>
      </w:r>
    </w:p>
  </w:footnote>
  <w:footnote w:id="45">
    <w:p w14:paraId="080D3E95" w14:textId="148BB567" w:rsidR="00C20ED1" w:rsidRPr="00C20ED1" w:rsidRDefault="00C20ED1">
      <w:pPr>
        <w:pStyle w:val="ac"/>
        <w:rPr>
          <w:lang w:val="en-US"/>
        </w:rPr>
      </w:pPr>
      <w:r>
        <w:rPr>
          <w:rStyle w:val="ae"/>
        </w:rPr>
        <w:footnoteRef/>
      </w:r>
      <w:r>
        <w:t xml:space="preserve"> </w:t>
      </w:r>
      <w:r w:rsidR="000711FC">
        <w:rPr>
          <w:lang w:val="en-US"/>
        </w:rPr>
        <w:t>Ibid., p. 60.</w:t>
      </w:r>
    </w:p>
  </w:footnote>
  <w:footnote w:id="46">
    <w:p w14:paraId="72BA6727" w14:textId="444066F5" w:rsidR="00C20ED1" w:rsidRPr="00C20ED1" w:rsidRDefault="00C20ED1">
      <w:pPr>
        <w:pStyle w:val="ac"/>
        <w:rPr>
          <w:lang w:val="en-US"/>
        </w:rPr>
      </w:pPr>
      <w:r>
        <w:rPr>
          <w:rStyle w:val="ae"/>
        </w:rPr>
        <w:footnoteRef/>
      </w:r>
      <w:r>
        <w:t xml:space="preserve"> </w:t>
      </w:r>
      <w:r w:rsidR="000711FC" w:rsidRPr="00BF3372">
        <w:rPr>
          <w:lang w:val="en-US"/>
        </w:rPr>
        <w:t xml:space="preserve">Cathy Caruth, </w:t>
      </w:r>
      <w:r w:rsidR="000711FC" w:rsidRPr="00BF3372">
        <w:rPr>
          <w:i/>
          <w:iCs/>
          <w:lang w:val="en-US"/>
        </w:rPr>
        <w:t>Unclaimed Experience: Trauma, Narrative, and History</w:t>
      </w:r>
      <w:r w:rsidR="000711FC" w:rsidRPr="00BF3372">
        <w:rPr>
          <w:lang w:val="en-US"/>
        </w:rPr>
        <w:t xml:space="preserve"> (Johns Hopkins University Press, 1996)</w:t>
      </w:r>
      <w:r w:rsidR="000711FC">
        <w:rPr>
          <w:lang w:val="en-US"/>
        </w:rPr>
        <w:t>, pp. 25-26.</w:t>
      </w:r>
    </w:p>
  </w:footnote>
  <w:footnote w:id="47">
    <w:p w14:paraId="534C9158" w14:textId="22CB7764" w:rsidR="00BD040B" w:rsidRPr="00BD040B" w:rsidRDefault="00BD040B">
      <w:pPr>
        <w:pStyle w:val="ac"/>
        <w:rPr>
          <w:lang w:val="en-US"/>
        </w:rPr>
      </w:pPr>
      <w:r>
        <w:rPr>
          <w:rStyle w:val="ae"/>
        </w:rPr>
        <w:footnoteRef/>
      </w:r>
      <w:r>
        <w:t xml:space="preserve"> </w:t>
      </w:r>
      <w:r w:rsidR="000711FC" w:rsidRPr="000711FC">
        <w:rPr>
          <w:lang w:val="en-US"/>
        </w:rPr>
        <w:t>Lidiya Ginzburg, Blockade Diary (Harvill Press, 1995)</w:t>
      </w:r>
      <w:r w:rsidR="000711FC">
        <w:rPr>
          <w:lang w:val="en-US"/>
        </w:rPr>
        <w:t xml:space="preserve"> p. 78.</w:t>
      </w:r>
    </w:p>
  </w:footnote>
  <w:footnote w:id="48">
    <w:p w14:paraId="53B8E479" w14:textId="5C120CC8" w:rsidR="00BD040B" w:rsidRPr="00BD040B" w:rsidRDefault="00BD040B">
      <w:pPr>
        <w:pStyle w:val="ac"/>
        <w:rPr>
          <w:lang w:val="en-US"/>
        </w:rPr>
      </w:pPr>
      <w:r>
        <w:rPr>
          <w:rStyle w:val="ae"/>
        </w:rPr>
        <w:footnoteRef/>
      </w:r>
      <w:r>
        <w:t xml:space="preserve"> </w:t>
      </w:r>
      <w:r w:rsidR="000711FC">
        <w:rPr>
          <w:lang w:val="en-US"/>
        </w:rPr>
        <w:t>Ibid., p. 79.</w:t>
      </w:r>
    </w:p>
  </w:footnote>
  <w:footnote w:id="49">
    <w:p w14:paraId="28362656" w14:textId="6A125349" w:rsidR="00BD040B" w:rsidRPr="00BD040B" w:rsidRDefault="00BD040B">
      <w:pPr>
        <w:pStyle w:val="ac"/>
        <w:rPr>
          <w:lang w:val="en-US"/>
        </w:rPr>
      </w:pPr>
      <w:r>
        <w:rPr>
          <w:rStyle w:val="ae"/>
        </w:rPr>
        <w:footnoteRef/>
      </w:r>
      <w:r>
        <w:t xml:space="preserve"> </w:t>
      </w:r>
      <w:r w:rsidR="000711FC">
        <w:rPr>
          <w:lang w:val="en-US"/>
        </w:rPr>
        <w:t>Ibid., p. 89.</w:t>
      </w:r>
    </w:p>
  </w:footnote>
  <w:footnote w:id="50">
    <w:p w14:paraId="5065DE1F" w14:textId="4C18AF85" w:rsidR="006A6854" w:rsidRPr="006A6854" w:rsidRDefault="006A6854">
      <w:pPr>
        <w:pStyle w:val="ac"/>
        <w:rPr>
          <w:lang w:val="en-US"/>
        </w:rPr>
      </w:pPr>
      <w:r>
        <w:rPr>
          <w:rStyle w:val="ae"/>
        </w:rPr>
        <w:footnoteRef/>
      </w:r>
      <w:r>
        <w:t xml:space="preserve"> </w:t>
      </w:r>
      <w:r w:rsidR="000711FC">
        <w:rPr>
          <w:lang w:val="en-US"/>
        </w:rPr>
        <w:t>Ibid., p. 89.</w:t>
      </w:r>
    </w:p>
  </w:footnote>
  <w:footnote w:id="51">
    <w:p w14:paraId="0FD9A961" w14:textId="41148AAC" w:rsidR="006A6854" w:rsidRPr="006A6854" w:rsidRDefault="006A6854">
      <w:pPr>
        <w:pStyle w:val="ac"/>
        <w:rPr>
          <w:lang w:val="en-US"/>
        </w:rPr>
      </w:pPr>
      <w:r>
        <w:rPr>
          <w:rStyle w:val="ae"/>
        </w:rPr>
        <w:footnoteRef/>
      </w:r>
      <w:r>
        <w:t xml:space="preserve"> </w:t>
      </w:r>
      <w:r w:rsidR="000711FC">
        <w:rPr>
          <w:lang w:val="en-US"/>
        </w:rPr>
        <w:t>Ibid., p. 84.</w:t>
      </w:r>
    </w:p>
  </w:footnote>
  <w:footnote w:id="52">
    <w:p w14:paraId="3245BFFF" w14:textId="2747A0FA" w:rsidR="006A6854" w:rsidRPr="006A6854" w:rsidRDefault="006A6854">
      <w:pPr>
        <w:pStyle w:val="ac"/>
        <w:rPr>
          <w:lang w:val="en-US"/>
        </w:rPr>
      </w:pPr>
      <w:r>
        <w:rPr>
          <w:rStyle w:val="ae"/>
        </w:rPr>
        <w:footnoteRef/>
      </w:r>
      <w:r>
        <w:t xml:space="preserve"> </w:t>
      </w:r>
      <w:r w:rsidR="000711FC" w:rsidRPr="000711FC">
        <w:rPr>
          <w:lang w:val="en-US"/>
        </w:rPr>
        <w:t xml:space="preserve">Lena Mukhina, </w:t>
      </w:r>
      <w:r w:rsidR="000711FC" w:rsidRPr="005B0B2E">
        <w:rPr>
          <w:i/>
          <w:iCs/>
          <w:lang w:val="en-US"/>
        </w:rPr>
        <w:t>The Diary of Lena Mukhina: A Girl's Life in the Siege of Leningrad,</w:t>
      </w:r>
      <w:r w:rsidR="000711FC" w:rsidRPr="000711FC">
        <w:rPr>
          <w:lang w:val="en-US"/>
        </w:rPr>
        <w:t xml:space="preserve"> p. </w:t>
      </w:r>
      <w:r w:rsidR="000711FC">
        <w:rPr>
          <w:lang w:val="en-US"/>
        </w:rPr>
        <w:t>67.</w:t>
      </w:r>
    </w:p>
  </w:footnote>
  <w:footnote w:id="53">
    <w:p w14:paraId="19DBEB92" w14:textId="0F825A3E" w:rsidR="006A6854" w:rsidRPr="006A6854" w:rsidRDefault="006A6854">
      <w:pPr>
        <w:pStyle w:val="ac"/>
        <w:rPr>
          <w:lang w:val="en-US"/>
        </w:rPr>
      </w:pPr>
      <w:r>
        <w:rPr>
          <w:rStyle w:val="ae"/>
        </w:rPr>
        <w:footnoteRef/>
      </w:r>
      <w:r>
        <w:t xml:space="preserve"> </w:t>
      </w:r>
      <w:r w:rsidR="000711FC" w:rsidRPr="000711FC">
        <w:rPr>
          <w:lang w:val="en-US"/>
        </w:rPr>
        <w:t xml:space="preserve">Lidiya Ginzburg, </w:t>
      </w:r>
      <w:r w:rsidR="000711FC" w:rsidRPr="005B0B2E">
        <w:rPr>
          <w:i/>
          <w:iCs/>
          <w:lang w:val="en-US"/>
        </w:rPr>
        <w:t>Blockade Diary</w:t>
      </w:r>
      <w:r w:rsidR="000711FC" w:rsidRPr="000711FC">
        <w:rPr>
          <w:lang w:val="en-US"/>
        </w:rPr>
        <w:t xml:space="preserve"> (Harvill Press, 1995)</w:t>
      </w:r>
      <w:r w:rsidR="000711FC">
        <w:rPr>
          <w:lang w:val="en-US"/>
        </w:rPr>
        <w:t>, p. 90</w:t>
      </w:r>
    </w:p>
  </w:footnote>
  <w:footnote w:id="54">
    <w:p w14:paraId="144EE92B" w14:textId="20CA5BB4" w:rsidR="009D4809" w:rsidRPr="009D4809" w:rsidRDefault="009D4809">
      <w:pPr>
        <w:pStyle w:val="ac"/>
        <w:rPr>
          <w:lang w:val="en-US"/>
        </w:rPr>
      </w:pPr>
      <w:r w:rsidRPr="009D4809">
        <w:rPr>
          <w:rStyle w:val="ae"/>
          <w:lang w:val="en-US"/>
        </w:rPr>
        <w:footnoteRef/>
      </w:r>
      <w:r w:rsidRPr="009D4809">
        <w:rPr>
          <w:lang w:val="en-US"/>
        </w:rPr>
        <w:t xml:space="preserve"> Krondorfer, “</w:t>
      </w:r>
      <w:r w:rsidRPr="005B0B2E">
        <w:rPr>
          <w:i/>
          <w:iCs/>
          <w:lang w:val="en-US"/>
        </w:rPr>
        <w:t>Hunger: Testing Testimonial Limits in the Gray Zone</w:t>
      </w:r>
      <w:r w:rsidRPr="009D4809">
        <w:rPr>
          <w:lang w:val="en-US"/>
        </w:rPr>
        <w:t xml:space="preserve">,” </w:t>
      </w:r>
      <w:r>
        <w:rPr>
          <w:lang w:val="en-US"/>
        </w:rPr>
        <w:t>p. 2</w:t>
      </w:r>
      <w:r w:rsidRPr="009D4809">
        <w:rPr>
          <w:lang w:val="en-US"/>
        </w:rPr>
        <w:t>.</w:t>
      </w:r>
    </w:p>
  </w:footnote>
  <w:footnote w:id="55">
    <w:p w14:paraId="131A1A92" w14:textId="7EA4FF9B" w:rsidR="0064318E" w:rsidRPr="0064318E" w:rsidRDefault="0064318E">
      <w:pPr>
        <w:pStyle w:val="ac"/>
      </w:pPr>
      <w:r>
        <w:rPr>
          <w:rStyle w:val="ae"/>
        </w:rPr>
        <w:footnoteRef/>
      </w:r>
      <w:r>
        <w:t xml:space="preserve"> </w:t>
      </w:r>
      <w:r w:rsidRPr="0064318E">
        <w:t xml:space="preserve">The </w:t>
      </w:r>
      <w:proofErr w:type="spellStart"/>
      <w:r w:rsidRPr="0064318E">
        <w:t>Ringelblum</w:t>
      </w:r>
      <w:proofErr w:type="spellEnd"/>
      <w:r w:rsidRPr="0064318E">
        <w:t xml:space="preserve"> </w:t>
      </w:r>
      <w:proofErr w:type="spellStart"/>
      <w:r w:rsidRPr="0064318E">
        <w:t>Archive</w:t>
      </w:r>
      <w:proofErr w:type="spellEnd"/>
      <w:r w:rsidRPr="0064318E">
        <w:t xml:space="preserve">. </w:t>
      </w:r>
      <w:proofErr w:type="spellStart"/>
      <w:r w:rsidRPr="0064318E">
        <w:t>Underground</w:t>
      </w:r>
      <w:proofErr w:type="spellEnd"/>
      <w:r w:rsidRPr="0064318E">
        <w:t xml:space="preserve"> </w:t>
      </w:r>
      <w:proofErr w:type="spellStart"/>
      <w:r w:rsidRPr="0064318E">
        <w:t>Archive</w:t>
      </w:r>
      <w:proofErr w:type="spellEnd"/>
      <w:r w:rsidRPr="0064318E">
        <w:t xml:space="preserve"> of </w:t>
      </w:r>
      <w:proofErr w:type="spellStart"/>
      <w:r w:rsidRPr="0064318E">
        <w:t>the</w:t>
      </w:r>
      <w:proofErr w:type="spellEnd"/>
      <w:r w:rsidRPr="0064318E">
        <w:t xml:space="preserve"> </w:t>
      </w:r>
      <w:proofErr w:type="spellStart"/>
      <w:r w:rsidRPr="0064318E">
        <w:t>Warsaw</w:t>
      </w:r>
      <w:proofErr w:type="spellEnd"/>
      <w:r w:rsidRPr="0064318E">
        <w:t xml:space="preserve"> </w:t>
      </w:r>
      <w:proofErr w:type="spellStart"/>
      <w:r w:rsidRPr="0064318E">
        <w:t>Ghetto</w:t>
      </w:r>
      <w:proofErr w:type="spellEnd"/>
      <w:r w:rsidRPr="0064318E">
        <w:t xml:space="preserve">, </w:t>
      </w:r>
      <w:proofErr w:type="spellStart"/>
      <w:r w:rsidRPr="0064318E">
        <w:t>vol</w:t>
      </w:r>
      <w:proofErr w:type="spellEnd"/>
      <w:r w:rsidRPr="0064318E">
        <w:t>. 8</w:t>
      </w:r>
    </w:p>
  </w:footnote>
  <w:footnote w:id="56">
    <w:p w14:paraId="18D4A563" w14:textId="0D6968C0" w:rsidR="0064318E" w:rsidRPr="0064318E" w:rsidRDefault="0064318E">
      <w:pPr>
        <w:pStyle w:val="ac"/>
        <w:rPr>
          <w:lang w:val="en-US"/>
        </w:rPr>
      </w:pPr>
      <w:r>
        <w:rPr>
          <w:rStyle w:val="ae"/>
        </w:rPr>
        <w:footnoteRef/>
      </w:r>
      <w:r>
        <w:t xml:space="preserve"> </w:t>
      </w:r>
      <w:proofErr w:type="spellStart"/>
      <w:r w:rsidRPr="0064318E">
        <w:t>Carluccio</w:t>
      </w:r>
      <w:proofErr w:type="spellEnd"/>
      <w:r w:rsidRPr="0064318E">
        <w:t xml:space="preserve">, “The </w:t>
      </w:r>
      <w:proofErr w:type="spellStart"/>
      <w:r w:rsidRPr="0064318E">
        <w:t>Philosophy</w:t>
      </w:r>
      <w:proofErr w:type="spellEnd"/>
      <w:r w:rsidRPr="0064318E">
        <w:t xml:space="preserve"> of Work </w:t>
      </w:r>
      <w:proofErr w:type="spellStart"/>
      <w:r w:rsidRPr="0064318E">
        <w:t>in</w:t>
      </w:r>
      <w:proofErr w:type="spellEnd"/>
      <w:r w:rsidRPr="0064318E">
        <w:t xml:space="preserve"> </w:t>
      </w:r>
      <w:proofErr w:type="spellStart"/>
      <w:r w:rsidRPr="0064318E">
        <w:t>the</w:t>
      </w:r>
      <w:proofErr w:type="spellEnd"/>
      <w:r w:rsidRPr="0064318E">
        <w:t xml:space="preserve"> </w:t>
      </w:r>
      <w:proofErr w:type="spellStart"/>
      <w:r w:rsidRPr="0064318E">
        <w:t>Gulag</w:t>
      </w:r>
      <w:proofErr w:type="spellEnd"/>
      <w:r w:rsidRPr="0064318E">
        <w:t xml:space="preserve">: </w:t>
      </w:r>
      <w:proofErr w:type="spellStart"/>
      <w:r w:rsidRPr="0064318E">
        <w:t>Two</w:t>
      </w:r>
      <w:proofErr w:type="spellEnd"/>
      <w:r w:rsidRPr="0064318E">
        <w:t xml:space="preserve"> </w:t>
      </w:r>
      <w:proofErr w:type="spellStart"/>
      <w:r w:rsidRPr="0064318E">
        <w:t>Views</w:t>
      </w:r>
      <w:proofErr w:type="spellEnd"/>
      <w:r w:rsidRPr="0064318E">
        <w:t xml:space="preserve"> </w:t>
      </w:r>
      <w:proofErr w:type="spellStart"/>
      <w:r w:rsidRPr="0064318E">
        <w:t>in</w:t>
      </w:r>
      <w:proofErr w:type="spellEnd"/>
      <w:r w:rsidRPr="0064318E">
        <w:t xml:space="preserve"> </w:t>
      </w:r>
      <w:proofErr w:type="spellStart"/>
      <w:r w:rsidRPr="0064318E">
        <w:t>Comparison</w:t>
      </w:r>
      <w:proofErr w:type="spellEnd"/>
      <w:r>
        <w:t>,</w:t>
      </w:r>
      <w:r w:rsidRPr="0064318E">
        <w:t>”</w:t>
      </w:r>
      <w:r>
        <w:t xml:space="preserve"> p. 4.</w:t>
      </w:r>
    </w:p>
  </w:footnote>
  <w:footnote w:id="57">
    <w:p w14:paraId="2379782E" w14:textId="3ACEF799" w:rsidR="00932A54" w:rsidRPr="00932A54" w:rsidRDefault="00932A54">
      <w:pPr>
        <w:pStyle w:val="ac"/>
        <w:rPr>
          <w:lang w:val="en-US"/>
        </w:rPr>
      </w:pPr>
      <w:r>
        <w:rPr>
          <w:rStyle w:val="ae"/>
        </w:rPr>
        <w:footnoteRef/>
      </w:r>
      <w:r>
        <w:t xml:space="preserve"> </w:t>
      </w:r>
      <w:r w:rsidR="000711FC" w:rsidRPr="00814F55">
        <w:rPr>
          <w:lang w:val="en-US"/>
        </w:rPr>
        <w:t xml:space="preserve">Olga Berggolts, </w:t>
      </w:r>
      <w:r w:rsidR="000711FC" w:rsidRPr="00BF3372">
        <w:rPr>
          <w:i/>
          <w:iCs/>
          <w:lang w:val="en-US"/>
        </w:rPr>
        <w:t>Forbidden Diary</w:t>
      </w:r>
    </w:p>
  </w:footnote>
  <w:footnote w:id="58">
    <w:p w14:paraId="4A2A42CD" w14:textId="0B587713" w:rsidR="001F571A" w:rsidRPr="001F571A" w:rsidRDefault="001F571A">
      <w:pPr>
        <w:pStyle w:val="ac"/>
        <w:rPr>
          <w:lang w:val="en-US"/>
        </w:rPr>
      </w:pPr>
      <w:r>
        <w:rPr>
          <w:rStyle w:val="ae"/>
        </w:rPr>
        <w:footnoteRef/>
      </w:r>
      <w:r>
        <w:t xml:space="preserve"> </w:t>
      </w:r>
      <w:r w:rsidR="000711FC" w:rsidRPr="00814F55">
        <w:rPr>
          <w:lang w:val="en-US"/>
        </w:rPr>
        <w:t xml:space="preserve">Olga Berggolts, </w:t>
      </w:r>
      <w:r w:rsidR="000711FC" w:rsidRPr="00BF3372">
        <w:rPr>
          <w:i/>
          <w:iCs/>
          <w:lang w:val="en-US"/>
        </w:rPr>
        <w:t>Forbidden Diary</w:t>
      </w:r>
    </w:p>
  </w:footnote>
  <w:footnote w:id="59">
    <w:p w14:paraId="09600627" w14:textId="2FC93518" w:rsidR="00921B61" w:rsidRPr="00921B61" w:rsidRDefault="00921B61">
      <w:pPr>
        <w:pStyle w:val="ac"/>
        <w:rPr>
          <w:lang w:val="en-US"/>
        </w:rPr>
      </w:pPr>
      <w:r>
        <w:rPr>
          <w:rStyle w:val="ae"/>
        </w:rPr>
        <w:footnoteRef/>
      </w:r>
      <w:r>
        <w:t xml:space="preserve"> </w:t>
      </w:r>
      <w:r w:rsidR="000711FC">
        <w:rPr>
          <w:lang w:val="en-US"/>
        </w:rPr>
        <w:t>Ibid.</w:t>
      </w:r>
    </w:p>
  </w:footnote>
  <w:footnote w:id="60">
    <w:p w14:paraId="114E199D" w14:textId="1615B570" w:rsidR="00921B61" w:rsidRPr="00921B61" w:rsidRDefault="00921B61">
      <w:pPr>
        <w:pStyle w:val="ac"/>
        <w:rPr>
          <w:lang w:val="en-US"/>
        </w:rPr>
      </w:pPr>
      <w:r>
        <w:rPr>
          <w:rStyle w:val="ae"/>
        </w:rPr>
        <w:footnoteRef/>
      </w:r>
      <w:r>
        <w:t xml:space="preserve"> </w:t>
      </w:r>
      <w:r w:rsidR="000711FC">
        <w:rPr>
          <w:lang w:val="en-US"/>
        </w:rPr>
        <w:t>Ibid.</w:t>
      </w:r>
    </w:p>
  </w:footnote>
  <w:footnote w:id="61">
    <w:p w14:paraId="7883768D" w14:textId="0D571A20" w:rsidR="0064318E" w:rsidRPr="0064318E" w:rsidRDefault="0064318E">
      <w:pPr>
        <w:pStyle w:val="ac"/>
        <w:rPr>
          <w:lang w:val="en-US"/>
        </w:rPr>
      </w:pPr>
      <w:r>
        <w:rPr>
          <w:rStyle w:val="ae"/>
        </w:rPr>
        <w:footnoteRef/>
      </w:r>
      <w:r>
        <w:t xml:space="preserve"> </w:t>
      </w:r>
      <w:r w:rsidR="000711FC">
        <w:rPr>
          <w:lang w:val="en-US"/>
        </w:rPr>
        <w:t>Ibid.</w:t>
      </w:r>
    </w:p>
  </w:footnote>
  <w:footnote w:id="62">
    <w:p w14:paraId="1794C4A2" w14:textId="07436BB0" w:rsidR="002420BD" w:rsidRPr="002420BD" w:rsidRDefault="002420BD">
      <w:pPr>
        <w:pStyle w:val="ac"/>
        <w:rPr>
          <w:lang w:val="en-US"/>
        </w:rPr>
      </w:pPr>
      <w:r>
        <w:rPr>
          <w:rStyle w:val="ae"/>
        </w:rPr>
        <w:footnoteRef/>
      </w:r>
      <w:r>
        <w:t xml:space="preserve"> </w:t>
      </w:r>
      <w:r w:rsidR="005B0B2E" w:rsidRPr="005B0B2E">
        <w:rPr>
          <w:lang w:val="en-US"/>
        </w:rPr>
        <w:t>Lena Mukhina, The Diary of Lena Mukhina: A Girl's Life in the Siege of Leningrad,</w:t>
      </w:r>
      <w:r w:rsidR="005B0B2E">
        <w:rPr>
          <w:lang w:val="en-US"/>
        </w:rPr>
        <w:t xml:space="preserve"> p. 78</w:t>
      </w:r>
    </w:p>
  </w:footnote>
  <w:footnote w:id="63">
    <w:p w14:paraId="09CB363C" w14:textId="2BF5A90B" w:rsidR="002420BD" w:rsidRPr="002420BD" w:rsidRDefault="002420BD">
      <w:pPr>
        <w:pStyle w:val="ac"/>
        <w:rPr>
          <w:lang w:val="en-US"/>
        </w:rPr>
      </w:pPr>
      <w:r>
        <w:rPr>
          <w:rStyle w:val="ae"/>
        </w:rPr>
        <w:footnoteRef/>
      </w:r>
      <w:r>
        <w:t xml:space="preserve"> </w:t>
      </w:r>
      <w:r w:rsidR="005B0B2E">
        <w:rPr>
          <w:lang w:val="en-US"/>
        </w:rPr>
        <w:t>Ibid.</w:t>
      </w:r>
    </w:p>
  </w:footnote>
  <w:footnote w:id="64">
    <w:p w14:paraId="7D733DA8" w14:textId="3A113E16" w:rsidR="006508C7" w:rsidRPr="006508C7" w:rsidRDefault="006508C7">
      <w:pPr>
        <w:pStyle w:val="ac"/>
        <w:rPr>
          <w:lang w:val="en-US"/>
        </w:rPr>
      </w:pPr>
      <w:r>
        <w:rPr>
          <w:rStyle w:val="ae"/>
        </w:rPr>
        <w:footnoteRef/>
      </w:r>
      <w:r>
        <w:t xml:space="preserve"> </w:t>
      </w:r>
      <w:r w:rsidR="005B0B2E" w:rsidRPr="005B0B2E">
        <w:rPr>
          <w:lang w:val="en-US"/>
        </w:rPr>
        <w:t xml:space="preserve">Lidiya Ginzburg, </w:t>
      </w:r>
      <w:r w:rsidR="005B0B2E" w:rsidRPr="005B0B2E">
        <w:rPr>
          <w:i/>
          <w:iCs/>
          <w:lang w:val="en-US"/>
        </w:rPr>
        <w:t>Blockade Diary</w:t>
      </w:r>
      <w:r w:rsidR="005B0B2E" w:rsidRPr="005B0B2E">
        <w:rPr>
          <w:lang w:val="en-US"/>
        </w:rPr>
        <w:t xml:space="preserve"> (Harvill Press, 1995),</w:t>
      </w:r>
    </w:p>
  </w:footnote>
  <w:footnote w:id="65">
    <w:p w14:paraId="51E71A53" w14:textId="7CC41111" w:rsidR="006508C7" w:rsidRPr="006508C7" w:rsidRDefault="006508C7">
      <w:pPr>
        <w:pStyle w:val="ac"/>
        <w:rPr>
          <w:lang w:val="en-US"/>
        </w:rPr>
      </w:pPr>
      <w:r>
        <w:rPr>
          <w:rStyle w:val="ae"/>
        </w:rPr>
        <w:footnoteRef/>
      </w:r>
      <w:r>
        <w:t xml:space="preserve"> </w:t>
      </w:r>
      <w:r w:rsidR="005B0B2E" w:rsidRPr="002D6658">
        <w:rPr>
          <w:lang w:val="en-US"/>
        </w:rPr>
        <w:t xml:space="preserve">Alexis Peri, </w:t>
      </w:r>
      <w:r w:rsidR="005B0B2E" w:rsidRPr="002D6658">
        <w:rPr>
          <w:i/>
          <w:iCs/>
          <w:lang w:val="en-US"/>
        </w:rPr>
        <w:t>The War Within: Diaries from the Siege of Leningrad</w:t>
      </w:r>
      <w:r w:rsidR="005B0B2E" w:rsidRPr="002D6658">
        <w:rPr>
          <w:lang w:val="en-US"/>
        </w:rPr>
        <w:t xml:space="preserve"> (Harvard University Press, 2017).</w:t>
      </w:r>
    </w:p>
  </w:footnote>
  <w:footnote w:id="66">
    <w:p w14:paraId="61856CEE" w14:textId="1082A808" w:rsidR="006508C7" w:rsidRPr="006508C7" w:rsidRDefault="006508C7">
      <w:pPr>
        <w:pStyle w:val="ac"/>
        <w:rPr>
          <w:lang w:val="en-US"/>
        </w:rPr>
      </w:pPr>
      <w:r>
        <w:rPr>
          <w:rStyle w:val="ae"/>
        </w:rPr>
        <w:footnoteRef/>
      </w:r>
      <w:r>
        <w:t xml:space="preserve"> </w:t>
      </w:r>
      <w:r w:rsidR="005B0B2E" w:rsidRPr="005B0B2E">
        <w:rPr>
          <w:lang w:val="en-US"/>
        </w:rPr>
        <w:t xml:space="preserve">Lena Mukhina, </w:t>
      </w:r>
      <w:r w:rsidR="005B0B2E" w:rsidRPr="005B0B2E">
        <w:rPr>
          <w:i/>
          <w:iCs/>
          <w:lang w:val="en-US"/>
        </w:rPr>
        <w:t>The Diary of Lena Mukhina: A Girl's Life in the Siege of Leningrad</w:t>
      </w:r>
      <w:r w:rsidR="005B0B2E" w:rsidRPr="005B0B2E">
        <w:rPr>
          <w:lang w:val="en-US"/>
        </w:rPr>
        <w:t>,</w:t>
      </w:r>
      <w:r w:rsidR="005B0B2E">
        <w:rPr>
          <w:lang w:val="en-US"/>
        </w:rPr>
        <w:t xml:space="preserve"> </w:t>
      </w:r>
    </w:p>
  </w:footnote>
  <w:footnote w:id="67">
    <w:p w14:paraId="3BBEF06A" w14:textId="0A03A2C5" w:rsidR="00D624CF" w:rsidRPr="00D624CF" w:rsidRDefault="00D624CF">
      <w:pPr>
        <w:pStyle w:val="ac"/>
        <w:rPr>
          <w:lang w:val="en-US"/>
        </w:rPr>
      </w:pPr>
      <w:r>
        <w:rPr>
          <w:rStyle w:val="ae"/>
        </w:rPr>
        <w:footnoteRef/>
      </w:r>
      <w:r>
        <w:t xml:space="preserve"> </w:t>
      </w:r>
      <w:r w:rsidR="005B0B2E" w:rsidRPr="005B0B2E">
        <w:rPr>
          <w:lang w:val="en-US"/>
        </w:rPr>
        <w:t xml:space="preserve">Cathy Caruth, </w:t>
      </w:r>
      <w:r w:rsidR="005B0B2E" w:rsidRPr="005B0B2E">
        <w:rPr>
          <w:i/>
          <w:iCs/>
          <w:lang w:val="en-US"/>
        </w:rPr>
        <w:t>Unclaimed Experience: Trauma, Narrative, and History</w:t>
      </w:r>
      <w:r w:rsidR="005B0B2E" w:rsidRPr="005B0B2E">
        <w:rPr>
          <w:lang w:val="en-US"/>
        </w:rPr>
        <w:t xml:space="preserve"> (Johns Hopkins University Press, 1996),</w:t>
      </w:r>
    </w:p>
  </w:footnote>
  <w:footnote w:id="68">
    <w:p w14:paraId="694C5C99" w14:textId="7627EB68" w:rsidR="00D624CF" w:rsidRPr="00D624CF" w:rsidRDefault="00D624CF">
      <w:pPr>
        <w:pStyle w:val="ac"/>
        <w:rPr>
          <w:lang w:val="en-US"/>
        </w:rPr>
      </w:pPr>
      <w:r>
        <w:rPr>
          <w:rStyle w:val="ae"/>
        </w:rPr>
        <w:footnoteRef/>
      </w:r>
      <w:r w:rsidR="005B0B2E">
        <w:t xml:space="preserve"> </w:t>
      </w:r>
      <w:proofErr w:type="spellStart"/>
      <w:r w:rsidR="005B0B2E" w:rsidRPr="005B0B2E">
        <w:t>Lena</w:t>
      </w:r>
      <w:proofErr w:type="spellEnd"/>
      <w:r w:rsidR="005B0B2E" w:rsidRPr="005B0B2E">
        <w:t xml:space="preserve"> </w:t>
      </w:r>
      <w:proofErr w:type="spellStart"/>
      <w:r w:rsidR="005B0B2E" w:rsidRPr="005B0B2E">
        <w:t>Mukhina</w:t>
      </w:r>
      <w:proofErr w:type="spellEnd"/>
      <w:r w:rsidR="005B0B2E" w:rsidRPr="005B0B2E">
        <w:t xml:space="preserve">, </w:t>
      </w:r>
      <w:r w:rsidR="005B0B2E" w:rsidRPr="005B0B2E">
        <w:rPr>
          <w:i/>
          <w:iCs/>
        </w:rPr>
        <w:t xml:space="preserve">The </w:t>
      </w:r>
      <w:proofErr w:type="spellStart"/>
      <w:r w:rsidR="005B0B2E" w:rsidRPr="005B0B2E">
        <w:rPr>
          <w:i/>
          <w:iCs/>
        </w:rPr>
        <w:t>Diary</w:t>
      </w:r>
      <w:proofErr w:type="spellEnd"/>
      <w:r w:rsidR="005B0B2E" w:rsidRPr="005B0B2E">
        <w:rPr>
          <w:i/>
          <w:iCs/>
        </w:rPr>
        <w:t xml:space="preserve"> of </w:t>
      </w:r>
      <w:proofErr w:type="spellStart"/>
      <w:r w:rsidR="005B0B2E" w:rsidRPr="005B0B2E">
        <w:rPr>
          <w:i/>
          <w:iCs/>
        </w:rPr>
        <w:t>Lena</w:t>
      </w:r>
      <w:proofErr w:type="spellEnd"/>
      <w:r w:rsidR="005B0B2E" w:rsidRPr="005B0B2E">
        <w:rPr>
          <w:i/>
          <w:iCs/>
        </w:rPr>
        <w:t xml:space="preserve"> </w:t>
      </w:r>
      <w:proofErr w:type="spellStart"/>
      <w:r w:rsidR="005B0B2E" w:rsidRPr="005B0B2E">
        <w:rPr>
          <w:i/>
          <w:iCs/>
        </w:rPr>
        <w:t>Mukhina</w:t>
      </w:r>
      <w:proofErr w:type="spellEnd"/>
      <w:r w:rsidR="005B0B2E" w:rsidRPr="005B0B2E">
        <w:rPr>
          <w:i/>
          <w:iCs/>
        </w:rPr>
        <w:t xml:space="preserve">: A </w:t>
      </w:r>
      <w:proofErr w:type="spellStart"/>
      <w:r w:rsidR="005B0B2E" w:rsidRPr="005B0B2E">
        <w:rPr>
          <w:i/>
          <w:iCs/>
        </w:rPr>
        <w:t>Girl's</w:t>
      </w:r>
      <w:proofErr w:type="spellEnd"/>
      <w:r w:rsidR="005B0B2E" w:rsidRPr="005B0B2E">
        <w:rPr>
          <w:i/>
          <w:iCs/>
        </w:rPr>
        <w:t xml:space="preserve"> Life </w:t>
      </w:r>
      <w:proofErr w:type="spellStart"/>
      <w:r w:rsidR="005B0B2E" w:rsidRPr="005B0B2E">
        <w:rPr>
          <w:i/>
          <w:iCs/>
        </w:rPr>
        <w:t>in</w:t>
      </w:r>
      <w:proofErr w:type="spellEnd"/>
      <w:r w:rsidR="005B0B2E" w:rsidRPr="005B0B2E">
        <w:rPr>
          <w:i/>
          <w:iCs/>
        </w:rPr>
        <w:t xml:space="preserve"> </w:t>
      </w:r>
      <w:proofErr w:type="spellStart"/>
      <w:r w:rsidR="005B0B2E" w:rsidRPr="005B0B2E">
        <w:rPr>
          <w:i/>
          <w:iCs/>
        </w:rPr>
        <w:t>the</w:t>
      </w:r>
      <w:proofErr w:type="spellEnd"/>
      <w:r w:rsidR="005B0B2E" w:rsidRPr="005B0B2E">
        <w:rPr>
          <w:i/>
          <w:iCs/>
        </w:rPr>
        <w:t xml:space="preserve"> Siege of Leningrad</w:t>
      </w:r>
      <w:r w:rsidR="00122C56">
        <w:t>.</w:t>
      </w:r>
    </w:p>
  </w:footnote>
  <w:footnote w:id="69">
    <w:p w14:paraId="508C2572" w14:textId="0F9C7A2F" w:rsidR="00D624CF" w:rsidRPr="00D624CF" w:rsidRDefault="00D624CF">
      <w:pPr>
        <w:pStyle w:val="ac"/>
        <w:rPr>
          <w:lang w:val="en-US"/>
        </w:rPr>
      </w:pPr>
      <w:r>
        <w:rPr>
          <w:rStyle w:val="ae"/>
        </w:rPr>
        <w:footnoteRef/>
      </w:r>
      <w:r>
        <w:t xml:space="preserve"> </w:t>
      </w:r>
      <w:r w:rsidR="005B0B2E" w:rsidRPr="005B0B2E">
        <w:rPr>
          <w:lang w:val="en-US"/>
        </w:rPr>
        <w:t xml:space="preserve">Lidiya Ginzburg, </w:t>
      </w:r>
      <w:r w:rsidR="005B0B2E" w:rsidRPr="005B0B2E">
        <w:rPr>
          <w:i/>
          <w:iCs/>
          <w:lang w:val="en-US"/>
        </w:rPr>
        <w:t>Blockade Diary</w:t>
      </w:r>
      <w:r w:rsidR="005B0B2E" w:rsidRPr="005B0B2E">
        <w:rPr>
          <w:lang w:val="en-US"/>
        </w:rPr>
        <w:t xml:space="preserve"> (Harvill Press, 1995</w:t>
      </w:r>
      <w:r w:rsidR="00122C56">
        <w:rPr>
          <w:lang w:val="en-US"/>
        </w:rPr>
        <w:t>)</w:t>
      </w:r>
    </w:p>
  </w:footnote>
  <w:footnote w:id="70">
    <w:p w14:paraId="3C7D33A1" w14:textId="74472EC8" w:rsidR="00D624CF" w:rsidRPr="00D624CF" w:rsidRDefault="00D624CF">
      <w:pPr>
        <w:pStyle w:val="ac"/>
        <w:rPr>
          <w:lang w:val="en-US"/>
        </w:rPr>
      </w:pPr>
      <w:r>
        <w:rPr>
          <w:rStyle w:val="ae"/>
        </w:rPr>
        <w:footnoteRef/>
      </w:r>
      <w:r>
        <w:t xml:space="preserve"> </w:t>
      </w:r>
      <w:r w:rsidR="005B0B2E">
        <w:rPr>
          <w:lang w:val="en-US"/>
        </w:rPr>
        <w:t>Ibid.</w:t>
      </w:r>
    </w:p>
  </w:footnote>
  <w:footnote w:id="71">
    <w:p w14:paraId="4D96D4D2" w14:textId="41A05AB1" w:rsidR="00BF27AB" w:rsidRPr="00BF27AB" w:rsidRDefault="00BF27AB">
      <w:pPr>
        <w:pStyle w:val="ac"/>
        <w:rPr>
          <w:lang w:val="en-US"/>
        </w:rPr>
      </w:pPr>
      <w:r>
        <w:rPr>
          <w:rStyle w:val="ae"/>
        </w:rPr>
        <w:footnoteRef/>
      </w:r>
      <w:r>
        <w:t xml:space="preserve"> </w:t>
      </w:r>
      <w:r w:rsidR="005B0B2E">
        <w:rPr>
          <w:lang w:val="en-US"/>
        </w:rPr>
        <w:t>Ibid.</w:t>
      </w:r>
    </w:p>
  </w:footnote>
  <w:footnote w:id="72">
    <w:p w14:paraId="39A50E53" w14:textId="47D4E4B5" w:rsidR="00BF27AB" w:rsidRPr="00BF27AB" w:rsidRDefault="00BF27AB">
      <w:pPr>
        <w:pStyle w:val="ac"/>
        <w:rPr>
          <w:lang w:val="en-US"/>
        </w:rPr>
      </w:pPr>
      <w:r>
        <w:rPr>
          <w:rStyle w:val="ae"/>
        </w:rPr>
        <w:footnoteRef/>
      </w:r>
      <w:r>
        <w:t xml:space="preserve"> </w:t>
      </w:r>
      <w:r w:rsidR="005B0B2E">
        <w:rPr>
          <w:lang w:val="en-US"/>
        </w:rPr>
        <w:t>Ibid.</w:t>
      </w:r>
    </w:p>
  </w:footnote>
  <w:footnote w:id="73">
    <w:p w14:paraId="059F8A7B" w14:textId="55537D80" w:rsidR="00CC6DFB" w:rsidRPr="00CC6DFB" w:rsidRDefault="00CC6DFB">
      <w:pPr>
        <w:pStyle w:val="ac"/>
        <w:rPr>
          <w:lang w:val="en-US"/>
        </w:rPr>
      </w:pPr>
      <w:r>
        <w:rPr>
          <w:rStyle w:val="ae"/>
        </w:rPr>
        <w:footnoteRef/>
      </w:r>
      <w:r>
        <w:t xml:space="preserve"> </w:t>
      </w:r>
      <w:r>
        <w:rPr>
          <w:lang w:val="en-US"/>
        </w:rPr>
        <w:t>Olga Berggolts</w:t>
      </w:r>
      <w:r w:rsidR="005B0B2E">
        <w:rPr>
          <w:lang w:val="en-US"/>
        </w:rPr>
        <w:t xml:space="preserve">, </w:t>
      </w:r>
      <w:r w:rsidR="005B0B2E" w:rsidRPr="005B0B2E">
        <w:rPr>
          <w:i/>
          <w:iCs/>
          <w:lang w:val="en-US"/>
        </w:rPr>
        <w:t>Forbidden Diary</w:t>
      </w:r>
      <w:r w:rsidR="005B0B2E">
        <w:rPr>
          <w:i/>
          <w:iCs/>
          <w:lang w:val="en-US"/>
        </w:rPr>
        <w:t xml:space="preserve">, </w:t>
      </w:r>
    </w:p>
  </w:footnote>
  <w:footnote w:id="74">
    <w:p w14:paraId="2B6747B4" w14:textId="12395800" w:rsidR="00FB0F58" w:rsidRPr="00FB0F58" w:rsidRDefault="00FB0F58">
      <w:pPr>
        <w:pStyle w:val="ac"/>
        <w:rPr>
          <w:lang w:val="en-US"/>
        </w:rPr>
      </w:pPr>
      <w:r>
        <w:rPr>
          <w:rStyle w:val="ae"/>
        </w:rPr>
        <w:footnoteRef/>
      </w:r>
      <w:r>
        <w:t xml:space="preserve"> </w:t>
      </w:r>
      <w:r>
        <w:rPr>
          <w:lang w:val="en-US"/>
        </w:rPr>
        <w:t>Olga Berggolts</w:t>
      </w:r>
      <w:r w:rsidR="005B0B2E">
        <w:rPr>
          <w:lang w:val="en-US"/>
        </w:rPr>
        <w:t xml:space="preserve">, </w:t>
      </w:r>
      <w:r w:rsidR="005B0B2E" w:rsidRPr="005B0B2E">
        <w:rPr>
          <w:i/>
          <w:iCs/>
          <w:lang w:val="en-US"/>
        </w:rPr>
        <w:t>Forbidden Diary</w:t>
      </w:r>
    </w:p>
  </w:footnote>
  <w:footnote w:id="75">
    <w:p w14:paraId="698EC624" w14:textId="42375A06" w:rsidR="00DB4281" w:rsidRPr="00DB4281" w:rsidRDefault="00DB4281">
      <w:pPr>
        <w:pStyle w:val="ac"/>
        <w:rPr>
          <w:lang w:val="en-US"/>
        </w:rPr>
      </w:pPr>
      <w:r>
        <w:rPr>
          <w:rStyle w:val="ae"/>
        </w:rPr>
        <w:footnoteRef/>
      </w:r>
      <w:r>
        <w:t xml:space="preserve"> </w:t>
      </w:r>
      <w:proofErr w:type="spellStart"/>
      <w:r w:rsidR="00122C56" w:rsidRPr="005B0B2E">
        <w:t>Lena</w:t>
      </w:r>
      <w:proofErr w:type="spellEnd"/>
      <w:r w:rsidR="00122C56" w:rsidRPr="005B0B2E">
        <w:t xml:space="preserve"> </w:t>
      </w:r>
      <w:proofErr w:type="spellStart"/>
      <w:r w:rsidR="00122C56" w:rsidRPr="005B0B2E">
        <w:t>Mukhina</w:t>
      </w:r>
      <w:proofErr w:type="spellEnd"/>
      <w:r w:rsidR="00122C56" w:rsidRPr="005B0B2E">
        <w:t xml:space="preserve">, </w:t>
      </w:r>
      <w:r w:rsidR="00122C56" w:rsidRPr="005B0B2E">
        <w:rPr>
          <w:i/>
          <w:iCs/>
        </w:rPr>
        <w:t xml:space="preserve">The </w:t>
      </w:r>
      <w:proofErr w:type="spellStart"/>
      <w:r w:rsidR="00122C56" w:rsidRPr="005B0B2E">
        <w:rPr>
          <w:i/>
          <w:iCs/>
        </w:rPr>
        <w:t>Diary</w:t>
      </w:r>
      <w:proofErr w:type="spellEnd"/>
      <w:r w:rsidR="00122C56" w:rsidRPr="005B0B2E">
        <w:rPr>
          <w:i/>
          <w:iCs/>
        </w:rPr>
        <w:t xml:space="preserve"> of </w:t>
      </w:r>
      <w:proofErr w:type="spellStart"/>
      <w:r w:rsidR="00122C56" w:rsidRPr="005B0B2E">
        <w:rPr>
          <w:i/>
          <w:iCs/>
        </w:rPr>
        <w:t>Lena</w:t>
      </w:r>
      <w:proofErr w:type="spellEnd"/>
      <w:r w:rsidR="00122C56" w:rsidRPr="005B0B2E">
        <w:rPr>
          <w:i/>
          <w:iCs/>
        </w:rPr>
        <w:t xml:space="preserve"> </w:t>
      </w:r>
      <w:proofErr w:type="spellStart"/>
      <w:r w:rsidR="00122C56" w:rsidRPr="005B0B2E">
        <w:rPr>
          <w:i/>
          <w:iCs/>
        </w:rPr>
        <w:t>Mukhina</w:t>
      </w:r>
      <w:proofErr w:type="spellEnd"/>
      <w:r w:rsidR="00122C56" w:rsidRPr="005B0B2E">
        <w:rPr>
          <w:i/>
          <w:iCs/>
        </w:rPr>
        <w:t xml:space="preserve">: A </w:t>
      </w:r>
      <w:proofErr w:type="spellStart"/>
      <w:r w:rsidR="00122C56" w:rsidRPr="005B0B2E">
        <w:rPr>
          <w:i/>
          <w:iCs/>
        </w:rPr>
        <w:t>Girl's</w:t>
      </w:r>
      <w:proofErr w:type="spellEnd"/>
      <w:r w:rsidR="00122C56" w:rsidRPr="005B0B2E">
        <w:rPr>
          <w:i/>
          <w:iCs/>
        </w:rPr>
        <w:t xml:space="preserve"> Life </w:t>
      </w:r>
      <w:proofErr w:type="spellStart"/>
      <w:r w:rsidR="00122C56" w:rsidRPr="005B0B2E">
        <w:rPr>
          <w:i/>
          <w:iCs/>
        </w:rPr>
        <w:t>in</w:t>
      </w:r>
      <w:proofErr w:type="spellEnd"/>
      <w:r w:rsidR="00122C56" w:rsidRPr="005B0B2E">
        <w:rPr>
          <w:i/>
          <w:iCs/>
        </w:rPr>
        <w:t xml:space="preserve"> </w:t>
      </w:r>
      <w:proofErr w:type="spellStart"/>
      <w:r w:rsidR="00122C56" w:rsidRPr="005B0B2E">
        <w:rPr>
          <w:i/>
          <w:iCs/>
        </w:rPr>
        <w:t>the</w:t>
      </w:r>
      <w:proofErr w:type="spellEnd"/>
      <w:r w:rsidR="00122C56" w:rsidRPr="005B0B2E">
        <w:rPr>
          <w:i/>
          <w:iCs/>
        </w:rPr>
        <w:t xml:space="preserve"> Siege of Leningrad</w:t>
      </w:r>
    </w:p>
  </w:footnote>
  <w:footnote w:id="76">
    <w:p w14:paraId="4015D39A" w14:textId="3E35F00D" w:rsidR="00DB4281" w:rsidRPr="00DB4281" w:rsidRDefault="00DB4281">
      <w:pPr>
        <w:pStyle w:val="ac"/>
        <w:rPr>
          <w:lang w:val="en-US"/>
        </w:rPr>
      </w:pPr>
      <w:r>
        <w:rPr>
          <w:rStyle w:val="ae"/>
        </w:rPr>
        <w:footnoteRef/>
      </w:r>
      <w:r>
        <w:t xml:space="preserve"> </w:t>
      </w:r>
      <w:r w:rsidR="00122C56">
        <w:rPr>
          <w:lang w:val="en-US"/>
        </w:rPr>
        <w:t>Ibid.</w:t>
      </w:r>
    </w:p>
  </w:footnote>
  <w:footnote w:id="77">
    <w:p w14:paraId="339FC659" w14:textId="03843B6F" w:rsidR="009D45EF" w:rsidRPr="009D45EF" w:rsidRDefault="009D45EF">
      <w:pPr>
        <w:pStyle w:val="ac"/>
        <w:rPr>
          <w:lang w:val="en-US"/>
        </w:rPr>
      </w:pPr>
      <w:r>
        <w:rPr>
          <w:rStyle w:val="ae"/>
        </w:rPr>
        <w:footnoteRef/>
      </w:r>
      <w:r>
        <w:t xml:space="preserve"> </w:t>
      </w:r>
      <w:r w:rsidR="005B0B2E" w:rsidRPr="002D6658">
        <w:rPr>
          <w:lang w:val="en-US"/>
        </w:rPr>
        <w:t xml:space="preserve">Alexis Peri, </w:t>
      </w:r>
      <w:r w:rsidR="005B0B2E" w:rsidRPr="002D6658">
        <w:rPr>
          <w:i/>
          <w:iCs/>
          <w:lang w:val="en-US"/>
        </w:rPr>
        <w:t>The War Within: Diaries from the Siege of Leningrad</w:t>
      </w:r>
      <w:r w:rsidR="005B0B2E" w:rsidRPr="002D6658">
        <w:rPr>
          <w:lang w:val="en-US"/>
        </w:rPr>
        <w:t xml:space="preserve"> (Harvard University Press, 2017).</w:t>
      </w:r>
    </w:p>
  </w:footnote>
  <w:footnote w:id="78">
    <w:p w14:paraId="0569020B" w14:textId="1B272AAC" w:rsidR="009D45EF" w:rsidRPr="009D45EF" w:rsidRDefault="009D45EF">
      <w:pPr>
        <w:pStyle w:val="ac"/>
        <w:rPr>
          <w:lang w:val="en-US"/>
        </w:rPr>
      </w:pPr>
      <w:r>
        <w:rPr>
          <w:rStyle w:val="ae"/>
        </w:rPr>
        <w:footnoteRef/>
      </w:r>
      <w:r>
        <w:t xml:space="preserve"> </w:t>
      </w:r>
      <w:proofErr w:type="spellStart"/>
      <w:r w:rsidR="00122C56" w:rsidRPr="005B0B2E">
        <w:t>Lena</w:t>
      </w:r>
      <w:proofErr w:type="spellEnd"/>
      <w:r w:rsidR="00122C56" w:rsidRPr="005B0B2E">
        <w:t xml:space="preserve"> </w:t>
      </w:r>
      <w:proofErr w:type="spellStart"/>
      <w:r w:rsidR="00122C56" w:rsidRPr="005B0B2E">
        <w:t>Mukhina</w:t>
      </w:r>
      <w:proofErr w:type="spellEnd"/>
      <w:r w:rsidR="00122C56" w:rsidRPr="005B0B2E">
        <w:t xml:space="preserve">, </w:t>
      </w:r>
      <w:r w:rsidR="00122C56" w:rsidRPr="005B0B2E">
        <w:rPr>
          <w:i/>
          <w:iCs/>
        </w:rPr>
        <w:t xml:space="preserve">The </w:t>
      </w:r>
      <w:proofErr w:type="spellStart"/>
      <w:r w:rsidR="00122C56" w:rsidRPr="005B0B2E">
        <w:rPr>
          <w:i/>
          <w:iCs/>
        </w:rPr>
        <w:t>Diary</w:t>
      </w:r>
      <w:proofErr w:type="spellEnd"/>
      <w:r w:rsidR="00122C56" w:rsidRPr="005B0B2E">
        <w:rPr>
          <w:i/>
          <w:iCs/>
        </w:rPr>
        <w:t xml:space="preserve"> of </w:t>
      </w:r>
      <w:proofErr w:type="spellStart"/>
      <w:r w:rsidR="00122C56" w:rsidRPr="005B0B2E">
        <w:rPr>
          <w:i/>
          <w:iCs/>
        </w:rPr>
        <w:t>Lena</w:t>
      </w:r>
      <w:proofErr w:type="spellEnd"/>
      <w:r w:rsidR="00122C56" w:rsidRPr="005B0B2E">
        <w:rPr>
          <w:i/>
          <w:iCs/>
        </w:rPr>
        <w:t xml:space="preserve"> </w:t>
      </w:r>
      <w:proofErr w:type="spellStart"/>
      <w:r w:rsidR="00122C56" w:rsidRPr="005B0B2E">
        <w:rPr>
          <w:i/>
          <w:iCs/>
        </w:rPr>
        <w:t>Mukhina</w:t>
      </w:r>
      <w:proofErr w:type="spellEnd"/>
      <w:r w:rsidR="00122C56" w:rsidRPr="005B0B2E">
        <w:rPr>
          <w:i/>
          <w:iCs/>
        </w:rPr>
        <w:t xml:space="preserve">: A </w:t>
      </w:r>
      <w:proofErr w:type="spellStart"/>
      <w:r w:rsidR="00122C56" w:rsidRPr="005B0B2E">
        <w:rPr>
          <w:i/>
          <w:iCs/>
        </w:rPr>
        <w:t>Girl's</w:t>
      </w:r>
      <w:proofErr w:type="spellEnd"/>
      <w:r w:rsidR="00122C56" w:rsidRPr="005B0B2E">
        <w:rPr>
          <w:i/>
          <w:iCs/>
        </w:rPr>
        <w:t xml:space="preserve"> Life </w:t>
      </w:r>
      <w:proofErr w:type="spellStart"/>
      <w:r w:rsidR="00122C56" w:rsidRPr="005B0B2E">
        <w:rPr>
          <w:i/>
          <w:iCs/>
        </w:rPr>
        <w:t>in</w:t>
      </w:r>
      <w:proofErr w:type="spellEnd"/>
      <w:r w:rsidR="00122C56" w:rsidRPr="005B0B2E">
        <w:rPr>
          <w:i/>
          <w:iCs/>
        </w:rPr>
        <w:t xml:space="preserve"> </w:t>
      </w:r>
      <w:proofErr w:type="spellStart"/>
      <w:r w:rsidR="00122C56" w:rsidRPr="005B0B2E">
        <w:rPr>
          <w:i/>
          <w:iCs/>
        </w:rPr>
        <w:t>the</w:t>
      </w:r>
      <w:proofErr w:type="spellEnd"/>
      <w:r w:rsidR="00122C56" w:rsidRPr="005B0B2E">
        <w:rPr>
          <w:i/>
          <w:iCs/>
        </w:rPr>
        <w:t xml:space="preserve"> Siege of Leningrad</w:t>
      </w:r>
      <w:r w:rsidR="00122C56">
        <w:t>.</w:t>
      </w:r>
    </w:p>
  </w:footnote>
  <w:footnote w:id="79">
    <w:p w14:paraId="63DEC8AE" w14:textId="45501725" w:rsidR="009D45EF" w:rsidRPr="009D45EF" w:rsidRDefault="009D45EF">
      <w:pPr>
        <w:pStyle w:val="ac"/>
        <w:rPr>
          <w:lang w:val="en-US"/>
        </w:rPr>
      </w:pPr>
      <w:r>
        <w:rPr>
          <w:rStyle w:val="ae"/>
        </w:rPr>
        <w:footnoteRef/>
      </w:r>
      <w:r>
        <w:t xml:space="preserve"> </w:t>
      </w:r>
      <w:r w:rsidR="00122C56">
        <w:rPr>
          <w:lang w:val="en-US"/>
        </w:rPr>
        <w:t>Ibid.</w:t>
      </w:r>
    </w:p>
  </w:footnote>
  <w:footnote w:id="80">
    <w:p w14:paraId="10870A3D" w14:textId="2C69F741" w:rsidR="009D45EF" w:rsidRPr="009D45EF" w:rsidRDefault="009D45EF">
      <w:pPr>
        <w:pStyle w:val="ac"/>
        <w:rPr>
          <w:lang w:val="en-US"/>
        </w:rPr>
      </w:pPr>
      <w:r>
        <w:rPr>
          <w:rStyle w:val="ae"/>
        </w:rPr>
        <w:footnoteRef/>
      </w:r>
      <w:r>
        <w:t xml:space="preserve"> </w:t>
      </w:r>
      <w:r w:rsidR="005B0B2E" w:rsidRPr="002D6658">
        <w:rPr>
          <w:lang w:val="en-US"/>
        </w:rPr>
        <w:t xml:space="preserve">Alexis Peri, </w:t>
      </w:r>
      <w:r w:rsidR="005B0B2E" w:rsidRPr="002D6658">
        <w:rPr>
          <w:i/>
          <w:iCs/>
          <w:lang w:val="en-US"/>
        </w:rPr>
        <w:t>The War Within: Diaries from the Siege of Leningrad</w:t>
      </w:r>
      <w:r w:rsidR="005B0B2E" w:rsidRPr="002D6658">
        <w:rPr>
          <w:lang w:val="en-US"/>
        </w:rPr>
        <w:t xml:space="preserve"> (Harvard University Press, 2017).</w:t>
      </w:r>
    </w:p>
  </w:footnote>
  <w:footnote w:id="81">
    <w:p w14:paraId="4BBAB098" w14:textId="1F78FE60" w:rsidR="004F02C6" w:rsidRPr="004F02C6" w:rsidRDefault="004F02C6">
      <w:pPr>
        <w:pStyle w:val="ac"/>
        <w:rPr>
          <w:lang w:val="en-US"/>
        </w:rPr>
      </w:pPr>
      <w:r>
        <w:rPr>
          <w:rStyle w:val="ae"/>
        </w:rPr>
        <w:footnoteRef/>
      </w:r>
      <w:r>
        <w:t xml:space="preserve"> </w:t>
      </w:r>
      <w:r w:rsidR="00122C56" w:rsidRPr="005B0B2E">
        <w:rPr>
          <w:lang w:val="en-US"/>
        </w:rPr>
        <w:t xml:space="preserve">Lidiya Ginzburg, </w:t>
      </w:r>
      <w:r w:rsidR="00122C56" w:rsidRPr="005B0B2E">
        <w:rPr>
          <w:i/>
          <w:iCs/>
          <w:lang w:val="en-US"/>
        </w:rPr>
        <w:t>Blockade Diary</w:t>
      </w:r>
      <w:r w:rsidR="00122C56" w:rsidRPr="005B0B2E">
        <w:rPr>
          <w:lang w:val="en-US"/>
        </w:rPr>
        <w:t xml:space="preserve"> (Harvill Press, 1995</w:t>
      </w:r>
      <w:r w:rsidR="00122C56">
        <w:rPr>
          <w:lang w:val="en-US"/>
        </w:rPr>
        <w:t>)</w:t>
      </w:r>
    </w:p>
  </w:footnote>
  <w:footnote w:id="82">
    <w:p w14:paraId="7A0EFB37" w14:textId="0CE8D165" w:rsidR="004F02C6" w:rsidRPr="004F02C6" w:rsidRDefault="004F02C6">
      <w:pPr>
        <w:pStyle w:val="ac"/>
        <w:rPr>
          <w:lang w:val="en-US"/>
        </w:rPr>
      </w:pPr>
      <w:r>
        <w:rPr>
          <w:rStyle w:val="ae"/>
        </w:rPr>
        <w:footnoteRef/>
      </w:r>
      <w:r>
        <w:t xml:space="preserve"> </w:t>
      </w:r>
      <w:r w:rsidR="00122C56">
        <w:rPr>
          <w:lang w:val="en-US"/>
        </w:rPr>
        <w:t>Ibid.</w:t>
      </w:r>
    </w:p>
  </w:footnote>
  <w:footnote w:id="83">
    <w:p w14:paraId="15C4283B" w14:textId="068C1152" w:rsidR="004F02C6" w:rsidRPr="004F02C6" w:rsidRDefault="004F02C6">
      <w:pPr>
        <w:pStyle w:val="ac"/>
        <w:rPr>
          <w:lang w:val="en-US"/>
        </w:rPr>
      </w:pPr>
      <w:r>
        <w:rPr>
          <w:rStyle w:val="ae"/>
        </w:rPr>
        <w:footnoteRef/>
      </w:r>
      <w:r>
        <w:t xml:space="preserve"> </w:t>
      </w:r>
      <w:r w:rsidR="00122C56">
        <w:rPr>
          <w:lang w:val="en-US"/>
        </w:rPr>
        <w:t>Ibid.</w:t>
      </w:r>
    </w:p>
  </w:footnote>
  <w:footnote w:id="84">
    <w:p w14:paraId="6304D6B8" w14:textId="0308E463" w:rsidR="002B609B" w:rsidRPr="002B609B" w:rsidRDefault="002B609B">
      <w:pPr>
        <w:pStyle w:val="ac"/>
        <w:rPr>
          <w:lang w:val="en-US"/>
        </w:rPr>
      </w:pPr>
      <w:r>
        <w:rPr>
          <w:rStyle w:val="ae"/>
        </w:rPr>
        <w:footnoteRef/>
      </w:r>
      <w:r>
        <w:t xml:space="preserve"> </w:t>
      </w:r>
      <w:r w:rsidR="00122C56">
        <w:rPr>
          <w:lang w:val="en-US"/>
        </w:rPr>
        <w:t>Ibid.</w:t>
      </w:r>
    </w:p>
  </w:footnote>
  <w:footnote w:id="85">
    <w:p w14:paraId="1666E07C" w14:textId="30A9215B" w:rsidR="00DD1222" w:rsidRPr="00DD1222" w:rsidRDefault="00DD1222">
      <w:pPr>
        <w:pStyle w:val="ac"/>
        <w:rPr>
          <w:lang w:val="en-US"/>
        </w:rPr>
      </w:pPr>
      <w:r>
        <w:rPr>
          <w:rStyle w:val="ae"/>
        </w:rPr>
        <w:footnoteRef/>
      </w:r>
      <w:r>
        <w:t xml:space="preserve"> </w:t>
      </w:r>
      <w:r>
        <w:rPr>
          <w:lang w:val="en-US"/>
        </w:rPr>
        <w:t>Olga Berg</w:t>
      </w:r>
      <w:r w:rsidR="00945242">
        <w:rPr>
          <w:lang w:val="en-US"/>
        </w:rPr>
        <w:t>g</w:t>
      </w:r>
      <w:r>
        <w:rPr>
          <w:lang w:val="en-US"/>
        </w:rPr>
        <w:t>olts</w:t>
      </w:r>
      <w:r w:rsidR="005B0B2E">
        <w:rPr>
          <w:lang w:val="en-US"/>
        </w:rPr>
        <w:t xml:space="preserve">, </w:t>
      </w:r>
      <w:r w:rsidR="005B0B2E" w:rsidRPr="005B0B2E">
        <w:rPr>
          <w:i/>
          <w:iCs/>
          <w:lang w:val="en-US"/>
        </w:rPr>
        <w:t>Forbidden Diary</w:t>
      </w:r>
    </w:p>
  </w:footnote>
  <w:footnote w:id="86">
    <w:p w14:paraId="1855EE8D" w14:textId="504B71B2" w:rsidR="00945242" w:rsidRPr="00945242" w:rsidRDefault="00945242">
      <w:pPr>
        <w:pStyle w:val="ac"/>
        <w:rPr>
          <w:lang w:val="en-US"/>
        </w:rPr>
      </w:pPr>
      <w:r>
        <w:rPr>
          <w:rStyle w:val="ae"/>
        </w:rPr>
        <w:footnoteRef/>
      </w:r>
      <w:r>
        <w:t xml:space="preserve"> </w:t>
      </w:r>
      <w:r w:rsidR="005B0B2E">
        <w:rPr>
          <w:lang w:val="en-US"/>
        </w:rPr>
        <w:t>Ibid.</w:t>
      </w:r>
    </w:p>
  </w:footnote>
  <w:footnote w:id="87">
    <w:p w14:paraId="70B077F7" w14:textId="1129F405" w:rsidR="00822000" w:rsidRPr="00822000" w:rsidRDefault="00822000">
      <w:pPr>
        <w:pStyle w:val="ac"/>
        <w:rPr>
          <w:lang w:val="en-US"/>
        </w:rPr>
      </w:pPr>
      <w:r>
        <w:rPr>
          <w:rStyle w:val="ae"/>
        </w:rPr>
        <w:footnoteRef/>
      </w:r>
      <w:r>
        <w:t xml:space="preserve"> </w:t>
      </w:r>
      <w:r>
        <w:rPr>
          <w:lang w:val="en-US"/>
        </w:rPr>
        <w:t>Olga Berggolts</w:t>
      </w:r>
      <w:r w:rsidR="005B0B2E">
        <w:rPr>
          <w:lang w:val="en-US"/>
        </w:rPr>
        <w:t xml:space="preserve">, </w:t>
      </w:r>
      <w:r w:rsidR="005B0B2E" w:rsidRPr="005B0B2E">
        <w:rPr>
          <w:i/>
          <w:iCs/>
          <w:lang w:val="en-US"/>
        </w:rPr>
        <w:t>Forbidden Diary</w:t>
      </w:r>
    </w:p>
  </w:footnote>
  <w:footnote w:id="88">
    <w:p w14:paraId="1843D0DB" w14:textId="2E13C28C" w:rsidR="003B5A62" w:rsidRPr="003B5A62" w:rsidRDefault="003B5A62">
      <w:pPr>
        <w:pStyle w:val="ac"/>
        <w:rPr>
          <w:lang w:val="en-US"/>
        </w:rPr>
      </w:pPr>
      <w:r>
        <w:rPr>
          <w:rStyle w:val="ae"/>
        </w:rPr>
        <w:footnoteRef/>
      </w:r>
      <w:r>
        <w:t xml:space="preserve"> </w:t>
      </w:r>
      <w:r w:rsidR="005B0B2E">
        <w:rPr>
          <w:lang w:val="en-US"/>
        </w:rPr>
        <w:t>Ibid.</w:t>
      </w:r>
    </w:p>
  </w:footnote>
  <w:footnote w:id="89">
    <w:p w14:paraId="32F9195A" w14:textId="4A58D03C" w:rsidR="00D22CAB" w:rsidRPr="00D22CAB" w:rsidRDefault="00D22CAB">
      <w:pPr>
        <w:pStyle w:val="ac"/>
        <w:rPr>
          <w:lang w:val="en-US"/>
        </w:rPr>
      </w:pPr>
      <w:r>
        <w:rPr>
          <w:rStyle w:val="ae"/>
        </w:rPr>
        <w:footnoteRef/>
      </w:r>
      <w:r>
        <w:t xml:space="preserve"> </w:t>
      </w:r>
      <w:r>
        <w:rPr>
          <w:lang w:val="en-US"/>
        </w:rPr>
        <w:t>Polina Barskova</w:t>
      </w:r>
      <w:r w:rsidR="00122C56">
        <w:rPr>
          <w:lang w:val="en-US"/>
        </w:rPr>
        <w:t>,</w:t>
      </w:r>
      <w:r>
        <w:rPr>
          <w:lang w:val="en-US"/>
        </w:rPr>
        <w:t xml:space="preserve"> </w:t>
      </w:r>
      <w:r w:rsidR="00356274" w:rsidRPr="00122C56">
        <w:rPr>
          <w:i/>
          <w:iCs/>
          <w:lang w:val="en-US"/>
        </w:rPr>
        <w:t>Blockade</w:t>
      </w:r>
      <w:r w:rsidRPr="00122C56">
        <w:rPr>
          <w:i/>
          <w:iCs/>
          <w:lang w:val="en-US"/>
        </w:rPr>
        <w:t xml:space="preserve"> narratives</w:t>
      </w:r>
    </w:p>
  </w:footnote>
  <w:footnote w:id="90">
    <w:p w14:paraId="145E18D3" w14:textId="638E4C24" w:rsidR="00356274" w:rsidRPr="00356274" w:rsidRDefault="00356274">
      <w:pPr>
        <w:pStyle w:val="ac"/>
        <w:rPr>
          <w:lang w:val="en-US"/>
        </w:rPr>
      </w:pPr>
      <w:r>
        <w:rPr>
          <w:rStyle w:val="ae"/>
        </w:rPr>
        <w:footnoteRef/>
      </w:r>
      <w:r>
        <w:t xml:space="preserve"> </w:t>
      </w:r>
      <w:r w:rsidR="00122C56">
        <w:rPr>
          <w:lang w:val="en-US"/>
        </w:rPr>
        <w:t>Ibid.</w:t>
      </w:r>
    </w:p>
  </w:footnote>
  <w:footnote w:id="91">
    <w:p w14:paraId="22EC7BA3" w14:textId="4D2CB41D" w:rsidR="00356274" w:rsidRPr="00356274" w:rsidRDefault="00356274">
      <w:pPr>
        <w:pStyle w:val="ac"/>
        <w:rPr>
          <w:lang w:val="en-US"/>
        </w:rPr>
      </w:pPr>
      <w:r>
        <w:rPr>
          <w:rStyle w:val="ae"/>
        </w:rPr>
        <w:footnoteRef/>
      </w:r>
      <w:r>
        <w:t xml:space="preserve"> </w:t>
      </w:r>
      <w:r w:rsidR="00122C56">
        <w:rPr>
          <w:lang w:val="en-US"/>
        </w:rPr>
        <w:t>Ibid.</w:t>
      </w:r>
    </w:p>
  </w:footnote>
  <w:footnote w:id="92">
    <w:p w14:paraId="2E41D8DA" w14:textId="46F194A1" w:rsidR="00DC5AD8" w:rsidRPr="00DC5AD8" w:rsidRDefault="00DC5AD8">
      <w:pPr>
        <w:pStyle w:val="ac"/>
        <w:rPr>
          <w:lang w:val="en-US"/>
        </w:rPr>
      </w:pPr>
      <w:r>
        <w:rPr>
          <w:rStyle w:val="ae"/>
        </w:rPr>
        <w:footnoteRef/>
      </w:r>
      <w:r>
        <w:t xml:space="preserve"> </w:t>
      </w:r>
      <w:r w:rsidR="00122C56">
        <w:rPr>
          <w:lang w:val="en-US"/>
        </w:rPr>
        <w:t>Ibid.</w:t>
      </w:r>
    </w:p>
  </w:footnote>
  <w:footnote w:id="93">
    <w:p w14:paraId="0C98A782" w14:textId="4D584AEF" w:rsidR="00DC5AD8" w:rsidRPr="00DC5AD8" w:rsidRDefault="00DC5AD8">
      <w:pPr>
        <w:pStyle w:val="ac"/>
        <w:rPr>
          <w:lang w:val="en-US"/>
        </w:rPr>
      </w:pPr>
      <w:r>
        <w:rPr>
          <w:rStyle w:val="ae"/>
        </w:rPr>
        <w:footnoteRef/>
      </w:r>
      <w:r>
        <w:t xml:space="preserve"> </w:t>
      </w:r>
      <w:r w:rsidR="00122C56">
        <w:rPr>
          <w:lang w:val="en-US"/>
        </w:rPr>
        <w:t xml:space="preserve">Lisa </w:t>
      </w:r>
      <w:r w:rsidR="00122C56" w:rsidRPr="00814F55">
        <w:rPr>
          <w:lang w:val="en-US"/>
        </w:rPr>
        <w:t xml:space="preserve">Kirschenbaum, </w:t>
      </w:r>
      <w:r w:rsidR="00122C56" w:rsidRPr="00E76FB6">
        <w:rPr>
          <w:i/>
          <w:iCs/>
          <w:lang w:val="en-US"/>
        </w:rPr>
        <w:t xml:space="preserve">The Legacy of the Siege of Leningrad, 1941–1995: Myth, Memories, and Monuments. </w:t>
      </w:r>
      <w:r w:rsidR="00122C56">
        <w:rPr>
          <w:lang w:val="en-US"/>
        </w:rPr>
        <w:t>(</w:t>
      </w:r>
      <w:r w:rsidR="00122C56" w:rsidRPr="00E76FB6">
        <w:rPr>
          <w:lang w:val="en-US"/>
        </w:rPr>
        <w:t>Cambridge University Press</w:t>
      </w:r>
      <w:r w:rsidR="00122C56" w:rsidRPr="00E76FB6">
        <w:rPr>
          <w:i/>
          <w:iCs/>
          <w:lang w:val="en-US"/>
        </w:rPr>
        <w:t xml:space="preserve">, </w:t>
      </w:r>
      <w:r w:rsidR="00122C56" w:rsidRPr="00E76FB6">
        <w:rPr>
          <w:lang w:val="en-US"/>
        </w:rPr>
        <w:t>2006</w:t>
      </w:r>
      <w:r w:rsidR="00122C56">
        <w:rPr>
          <w:lang w:val="en-US"/>
        </w:rPr>
        <w:t>)</w:t>
      </w:r>
      <w:r w:rsidR="00122C56" w:rsidRPr="00814F55">
        <w:rPr>
          <w:lang w:val="en-US"/>
        </w:rPr>
        <w:t>,</w:t>
      </w:r>
    </w:p>
  </w:footnote>
  <w:footnote w:id="94">
    <w:p w14:paraId="3656DB92" w14:textId="742CD3AF" w:rsidR="003F0A79" w:rsidRPr="003F0A79" w:rsidRDefault="003F0A79">
      <w:pPr>
        <w:pStyle w:val="ac"/>
        <w:rPr>
          <w:lang w:val="en-US"/>
        </w:rPr>
      </w:pPr>
      <w:r>
        <w:rPr>
          <w:rStyle w:val="ae"/>
        </w:rPr>
        <w:footnoteRef/>
      </w:r>
      <w:r>
        <w:t xml:space="preserve"> </w:t>
      </w:r>
      <w:r w:rsidR="00122C56" w:rsidRPr="00814F55">
        <w:rPr>
          <w:lang w:val="en-US"/>
        </w:rPr>
        <w:t xml:space="preserve">Polina Barskova, </w:t>
      </w:r>
      <w:proofErr w:type="spellStart"/>
      <w:r w:rsidR="00122C56" w:rsidRPr="00814F55">
        <w:rPr>
          <w:i/>
          <w:iCs/>
          <w:lang w:val="en-US"/>
        </w:rPr>
        <w:t>Blokadnoe</w:t>
      </w:r>
      <w:proofErr w:type="spellEnd"/>
      <w:r w:rsidR="00122C56" w:rsidRPr="00814F55">
        <w:rPr>
          <w:i/>
          <w:iCs/>
          <w:lang w:val="en-US"/>
        </w:rPr>
        <w:t xml:space="preserve"> </w:t>
      </w:r>
      <w:proofErr w:type="spellStart"/>
      <w:r w:rsidR="00122C56" w:rsidRPr="00814F55">
        <w:rPr>
          <w:i/>
          <w:iCs/>
          <w:lang w:val="en-US"/>
        </w:rPr>
        <w:t>posle</w:t>
      </w:r>
      <w:proofErr w:type="spellEnd"/>
    </w:p>
  </w:footnote>
  <w:footnote w:id="95">
    <w:p w14:paraId="0466A670" w14:textId="081A7AEE" w:rsidR="003F0A79" w:rsidRPr="003F0A79" w:rsidRDefault="003F0A79">
      <w:pPr>
        <w:pStyle w:val="ac"/>
        <w:rPr>
          <w:lang w:val="en-US"/>
        </w:rPr>
      </w:pPr>
      <w:r>
        <w:rPr>
          <w:rStyle w:val="ae"/>
        </w:rPr>
        <w:footnoteRef/>
      </w:r>
      <w:r>
        <w:t xml:space="preserve"> </w:t>
      </w:r>
      <w:r w:rsidR="00122C56">
        <w:rPr>
          <w:lang w:val="en-US"/>
        </w:rPr>
        <w:t xml:space="preserve">Lisa </w:t>
      </w:r>
      <w:r w:rsidR="00122C56" w:rsidRPr="00814F55">
        <w:rPr>
          <w:lang w:val="en-US"/>
        </w:rPr>
        <w:t xml:space="preserve">Kirschenbaum, </w:t>
      </w:r>
      <w:r w:rsidR="00122C56" w:rsidRPr="00E76FB6">
        <w:rPr>
          <w:i/>
          <w:iCs/>
          <w:lang w:val="en-US"/>
        </w:rPr>
        <w:t xml:space="preserve">The Legacy of the Siege of Leningrad, 1941–1995: Myth, Memories, and Monuments. </w:t>
      </w:r>
      <w:r w:rsidR="00122C56">
        <w:rPr>
          <w:lang w:val="en-US"/>
        </w:rPr>
        <w:t>(</w:t>
      </w:r>
      <w:r w:rsidR="00122C56" w:rsidRPr="00E76FB6">
        <w:rPr>
          <w:lang w:val="en-US"/>
        </w:rPr>
        <w:t>Cambridge University Press</w:t>
      </w:r>
      <w:r w:rsidR="00122C56" w:rsidRPr="00E76FB6">
        <w:rPr>
          <w:i/>
          <w:iCs/>
          <w:lang w:val="en-US"/>
        </w:rPr>
        <w:t xml:space="preserve">, </w:t>
      </w:r>
      <w:r w:rsidR="00122C56" w:rsidRPr="00E76FB6">
        <w:rPr>
          <w:lang w:val="en-US"/>
        </w:rPr>
        <w:t>2006</w:t>
      </w:r>
      <w:r w:rsidR="00122C56">
        <w:rPr>
          <w:lang w:val="en-US"/>
        </w:rPr>
        <w:t>)</w:t>
      </w:r>
      <w:r w:rsidR="00122C56" w:rsidRPr="00814F55">
        <w:rPr>
          <w:lang w:val="en-US"/>
        </w:rPr>
        <w:t>,</w:t>
      </w:r>
    </w:p>
  </w:footnote>
  <w:footnote w:id="96">
    <w:p w14:paraId="06E555C0" w14:textId="47AA48FC" w:rsidR="005C7FEB" w:rsidRPr="005C7FEB" w:rsidRDefault="005C7FEB">
      <w:pPr>
        <w:pStyle w:val="ac"/>
        <w:rPr>
          <w:lang w:val="en-US"/>
        </w:rPr>
      </w:pPr>
      <w:r>
        <w:rPr>
          <w:rStyle w:val="ae"/>
        </w:rPr>
        <w:footnoteRef/>
      </w:r>
      <w:r>
        <w:t xml:space="preserve"> </w:t>
      </w:r>
      <w:r w:rsidR="00122C56">
        <w:t>Ibid.</w:t>
      </w:r>
    </w:p>
  </w:footnote>
  <w:footnote w:id="97">
    <w:p w14:paraId="01C0D686" w14:textId="48064008" w:rsidR="005C7FEB" w:rsidRPr="005C7FEB" w:rsidRDefault="005C7FEB">
      <w:pPr>
        <w:pStyle w:val="ac"/>
        <w:rPr>
          <w:lang w:val="en-US"/>
        </w:rPr>
      </w:pPr>
      <w:r>
        <w:rPr>
          <w:rStyle w:val="ae"/>
        </w:rPr>
        <w:footnoteRef/>
      </w:r>
      <w:r>
        <w:t xml:space="preserve"> </w:t>
      </w:r>
      <w:r w:rsidR="00122C56">
        <w:rPr>
          <w:lang w:val="en-US"/>
        </w:rPr>
        <w:t xml:space="preserve">Lisa </w:t>
      </w:r>
      <w:r w:rsidR="00122C56" w:rsidRPr="00814F55">
        <w:rPr>
          <w:lang w:val="en-US"/>
        </w:rPr>
        <w:t xml:space="preserve">Kirschenbaum, </w:t>
      </w:r>
      <w:r w:rsidR="00122C56" w:rsidRPr="00E76FB6">
        <w:rPr>
          <w:i/>
          <w:iCs/>
          <w:lang w:val="en-US"/>
        </w:rPr>
        <w:t xml:space="preserve">The Legacy of the Siege of Leningrad, 1941–1995: Myth, Memories, and Monuments. </w:t>
      </w:r>
      <w:r w:rsidR="00122C56">
        <w:rPr>
          <w:lang w:val="en-US"/>
        </w:rPr>
        <w:t>(</w:t>
      </w:r>
      <w:r w:rsidR="00122C56" w:rsidRPr="00E76FB6">
        <w:rPr>
          <w:lang w:val="en-US"/>
        </w:rPr>
        <w:t>Cambridge University Press</w:t>
      </w:r>
      <w:r w:rsidR="00122C56" w:rsidRPr="00E76FB6">
        <w:rPr>
          <w:i/>
          <w:iCs/>
          <w:lang w:val="en-US"/>
        </w:rPr>
        <w:t xml:space="preserve">, </w:t>
      </w:r>
      <w:r w:rsidR="00122C56" w:rsidRPr="00E76FB6">
        <w:rPr>
          <w:lang w:val="en-US"/>
        </w:rPr>
        <w:t>2006</w:t>
      </w:r>
      <w:r w:rsidR="00122C56">
        <w:rPr>
          <w:lang w:val="en-US"/>
        </w:rPr>
        <w:t>)</w:t>
      </w:r>
    </w:p>
  </w:footnote>
  <w:footnote w:id="98">
    <w:p w14:paraId="15CFDB52" w14:textId="3F7ED4CE" w:rsidR="00C96649" w:rsidRPr="00C96649" w:rsidRDefault="00C96649">
      <w:pPr>
        <w:pStyle w:val="ac"/>
        <w:rPr>
          <w:lang w:val="en-US"/>
        </w:rPr>
      </w:pPr>
      <w:r>
        <w:rPr>
          <w:rStyle w:val="ae"/>
        </w:rPr>
        <w:footnoteRef/>
      </w:r>
      <w:r>
        <w:t xml:space="preserve"> </w:t>
      </w:r>
      <w:r w:rsidR="005B0B2E" w:rsidRPr="002D6658">
        <w:rPr>
          <w:lang w:val="en-US"/>
        </w:rPr>
        <w:t xml:space="preserve">Alexis Peri, </w:t>
      </w:r>
      <w:r w:rsidR="005B0B2E" w:rsidRPr="002D6658">
        <w:rPr>
          <w:i/>
          <w:iCs/>
          <w:lang w:val="en-US"/>
        </w:rPr>
        <w:t>The War Within: Diaries from the Siege of Leningrad</w:t>
      </w:r>
      <w:r w:rsidR="005B0B2E" w:rsidRPr="002D6658">
        <w:rPr>
          <w:lang w:val="en-US"/>
        </w:rPr>
        <w:t xml:space="preserve"> (Harvard University Press, 2017).</w:t>
      </w:r>
    </w:p>
  </w:footnote>
  <w:footnote w:id="99">
    <w:p w14:paraId="29A4B0D8" w14:textId="1E90BE55" w:rsidR="00C96649" w:rsidRPr="00C96649" w:rsidRDefault="00C96649">
      <w:pPr>
        <w:pStyle w:val="ac"/>
        <w:rPr>
          <w:lang w:val="en-US"/>
        </w:rPr>
      </w:pPr>
      <w:r>
        <w:rPr>
          <w:rStyle w:val="ae"/>
        </w:rPr>
        <w:footnoteRef/>
      </w:r>
      <w:r>
        <w:t xml:space="preserve"> </w:t>
      </w:r>
      <w:r w:rsidR="00122C56" w:rsidRPr="00814F55">
        <w:rPr>
          <w:lang w:val="en-US"/>
        </w:rPr>
        <w:t xml:space="preserve">Polina Barskova, </w:t>
      </w:r>
      <w:proofErr w:type="spellStart"/>
      <w:r w:rsidR="00122C56" w:rsidRPr="00814F55">
        <w:rPr>
          <w:i/>
          <w:iCs/>
          <w:lang w:val="en-US"/>
        </w:rPr>
        <w:t>Blokadnoe</w:t>
      </w:r>
      <w:proofErr w:type="spellEnd"/>
      <w:r w:rsidR="00122C56" w:rsidRPr="00814F55">
        <w:rPr>
          <w:i/>
          <w:iCs/>
          <w:lang w:val="en-US"/>
        </w:rPr>
        <w:t xml:space="preserve"> </w:t>
      </w:r>
      <w:proofErr w:type="spellStart"/>
      <w:r w:rsidR="00122C56" w:rsidRPr="00814F55">
        <w:rPr>
          <w:i/>
          <w:iCs/>
          <w:lang w:val="en-US"/>
        </w:rPr>
        <w:t>posle</w:t>
      </w:r>
      <w:proofErr w:type="spellEnd"/>
    </w:p>
  </w:footnote>
  <w:footnote w:id="100">
    <w:p w14:paraId="164FB666" w14:textId="0D42E394" w:rsidR="00F50003" w:rsidRPr="00F50003" w:rsidRDefault="00F50003">
      <w:pPr>
        <w:pStyle w:val="ac"/>
        <w:rPr>
          <w:lang w:val="en-US"/>
        </w:rPr>
      </w:pPr>
      <w:r>
        <w:rPr>
          <w:rStyle w:val="ae"/>
        </w:rPr>
        <w:footnoteRef/>
      </w:r>
      <w:r>
        <w:t xml:space="preserve"> </w:t>
      </w:r>
      <w:r w:rsidR="005B0B2E" w:rsidRPr="002D6658">
        <w:rPr>
          <w:lang w:val="en-US"/>
        </w:rPr>
        <w:t xml:space="preserve">Alexis Peri, </w:t>
      </w:r>
      <w:r w:rsidR="005B0B2E" w:rsidRPr="002D6658">
        <w:rPr>
          <w:i/>
          <w:iCs/>
          <w:lang w:val="en-US"/>
        </w:rPr>
        <w:t>The War Within: Diaries from the Siege of Leningrad</w:t>
      </w:r>
      <w:r w:rsidR="005B0B2E" w:rsidRPr="002D6658">
        <w:rPr>
          <w:lang w:val="en-US"/>
        </w:rPr>
        <w:t xml:space="preserve"> (Harvard University Press, 2017).</w:t>
      </w:r>
    </w:p>
  </w:footnote>
  <w:footnote w:id="101">
    <w:p w14:paraId="15D1579E" w14:textId="7FE607EE" w:rsidR="00F50003" w:rsidRPr="00F50003" w:rsidRDefault="00F50003">
      <w:pPr>
        <w:pStyle w:val="ac"/>
        <w:rPr>
          <w:lang w:val="en-US"/>
        </w:rPr>
      </w:pPr>
      <w:r>
        <w:rPr>
          <w:rStyle w:val="ae"/>
        </w:rPr>
        <w:footnoteRef/>
      </w:r>
      <w:r>
        <w:t xml:space="preserve"> </w:t>
      </w:r>
      <w:r>
        <w:rPr>
          <w:lang w:val="en-US"/>
        </w:rPr>
        <w:t xml:space="preserve">Khrushchev’s </w:t>
      </w:r>
      <w:r w:rsidR="005B0B2E">
        <w:rPr>
          <w:lang w:val="en-US"/>
        </w:rPr>
        <w:t xml:space="preserve">Secret </w:t>
      </w:r>
      <w:r>
        <w:rPr>
          <w:lang w:val="en-US"/>
        </w:rPr>
        <w:t>Speech</w:t>
      </w:r>
      <w:r w:rsidR="005B0B2E">
        <w:rPr>
          <w:lang w:val="en-US"/>
        </w:rPr>
        <w:t>, 1956</w:t>
      </w:r>
      <w:r w:rsidR="00122C56">
        <w:rPr>
          <w:lang w:val="en-US"/>
        </w:rPr>
        <w:t>.</w:t>
      </w:r>
    </w:p>
  </w:footnote>
  <w:footnote w:id="102">
    <w:p w14:paraId="1793AEFA" w14:textId="5F2A96BF" w:rsidR="00DC1967" w:rsidRPr="00DC1967" w:rsidRDefault="00DC1967">
      <w:pPr>
        <w:pStyle w:val="ac"/>
        <w:rPr>
          <w:lang w:val="en-US"/>
        </w:rPr>
      </w:pPr>
      <w:r>
        <w:rPr>
          <w:rStyle w:val="ae"/>
        </w:rPr>
        <w:footnoteRef/>
      </w:r>
      <w:r>
        <w:t xml:space="preserve"> </w:t>
      </w:r>
      <w:r w:rsidR="00122C56">
        <w:rPr>
          <w:lang w:val="en-US"/>
        </w:rPr>
        <w:t>Ibid.</w:t>
      </w:r>
    </w:p>
  </w:footnote>
  <w:footnote w:id="103">
    <w:p w14:paraId="397B675B" w14:textId="6A94C8E2" w:rsidR="00DC1967" w:rsidRPr="00DC1967" w:rsidRDefault="00DC1967">
      <w:pPr>
        <w:pStyle w:val="ac"/>
        <w:rPr>
          <w:lang w:val="en-US"/>
        </w:rPr>
      </w:pPr>
      <w:r>
        <w:rPr>
          <w:rStyle w:val="ae"/>
        </w:rPr>
        <w:footnoteRef/>
      </w:r>
      <w:r>
        <w:t xml:space="preserve"> </w:t>
      </w:r>
      <w:r w:rsidR="005B0B2E" w:rsidRPr="002D6658">
        <w:rPr>
          <w:lang w:val="en-US"/>
        </w:rPr>
        <w:t xml:space="preserve">Alexis Peri, </w:t>
      </w:r>
      <w:r w:rsidR="005B0B2E" w:rsidRPr="002D6658">
        <w:rPr>
          <w:i/>
          <w:iCs/>
          <w:lang w:val="en-US"/>
        </w:rPr>
        <w:t>The War Within: Diaries from the Siege of Leningrad</w:t>
      </w:r>
      <w:r w:rsidR="005B0B2E" w:rsidRPr="002D6658">
        <w:rPr>
          <w:lang w:val="en-US"/>
        </w:rPr>
        <w:t xml:space="preserve"> (Harvard University Press, 2017).</w:t>
      </w:r>
    </w:p>
  </w:footnote>
  <w:footnote w:id="104">
    <w:p w14:paraId="733D2A14" w14:textId="0F168968" w:rsidR="00DC1967" w:rsidRPr="00DC1967" w:rsidRDefault="00DC1967">
      <w:pPr>
        <w:pStyle w:val="ac"/>
        <w:rPr>
          <w:lang w:val="en-US"/>
        </w:rPr>
      </w:pPr>
      <w:r>
        <w:rPr>
          <w:rStyle w:val="ae"/>
        </w:rPr>
        <w:footnoteRef/>
      </w:r>
      <w:r>
        <w:t xml:space="preserve"> </w:t>
      </w:r>
      <w:r w:rsidR="00575B61" w:rsidRPr="00433BEB">
        <w:rPr>
          <w:lang w:val="en-US"/>
        </w:rPr>
        <w:t xml:space="preserve">Nina Tumarkin, </w:t>
      </w:r>
      <w:r w:rsidR="00575B61" w:rsidRPr="00433BEB">
        <w:rPr>
          <w:rStyle w:val="af"/>
          <w:lang w:val="en-US"/>
        </w:rPr>
        <w:t>The Living and the Dead: The Rise and Fall of the Cult of World War II in Russia</w:t>
      </w:r>
      <w:r w:rsidR="00575B61" w:rsidRPr="00433BEB">
        <w:rPr>
          <w:lang w:val="en-US"/>
        </w:rPr>
        <w:t xml:space="preserve"> (Basic Books, 1994),</w:t>
      </w:r>
      <w:r w:rsidR="00575B61">
        <w:rPr>
          <w:lang w:val="en-US"/>
        </w:rPr>
        <w:t xml:space="preserve"> p. 123</w:t>
      </w:r>
    </w:p>
  </w:footnote>
  <w:footnote w:id="105">
    <w:p w14:paraId="2A39C80B" w14:textId="2ADE7DEB" w:rsidR="00091822" w:rsidRPr="00091822" w:rsidRDefault="00091822">
      <w:pPr>
        <w:pStyle w:val="ac"/>
        <w:rPr>
          <w:lang w:val="en-US"/>
        </w:rPr>
      </w:pPr>
      <w:r>
        <w:rPr>
          <w:rStyle w:val="ae"/>
        </w:rPr>
        <w:footnoteRef/>
      </w:r>
      <w:r>
        <w:t xml:space="preserve"> </w:t>
      </w:r>
      <w:r w:rsidR="00575B61">
        <w:rPr>
          <w:lang w:val="en-US"/>
        </w:rPr>
        <w:t>Ibid.,</w:t>
      </w:r>
      <w:r w:rsidR="00122C56">
        <w:rPr>
          <w:lang w:val="en-US"/>
        </w:rPr>
        <w:t xml:space="preserve"> p. 134</w:t>
      </w:r>
    </w:p>
  </w:footnote>
  <w:footnote w:id="106">
    <w:p w14:paraId="1B228620" w14:textId="7042C0B4" w:rsidR="00FE4924" w:rsidRPr="00FE4924" w:rsidRDefault="00FE4924">
      <w:pPr>
        <w:pStyle w:val="ac"/>
        <w:rPr>
          <w:lang w:val="en-US"/>
        </w:rPr>
      </w:pPr>
      <w:r>
        <w:rPr>
          <w:rStyle w:val="ae"/>
        </w:rPr>
        <w:footnoteRef/>
      </w:r>
      <w:r>
        <w:t xml:space="preserve"> </w:t>
      </w:r>
      <w:proofErr w:type="spellStart"/>
      <w:r w:rsidR="000711FC" w:rsidRPr="000711FC">
        <w:t>Evgeni</w:t>
      </w:r>
      <w:proofErr w:type="spellEnd"/>
      <w:r w:rsidR="000711FC" w:rsidRPr="000711FC">
        <w:t xml:space="preserve"> </w:t>
      </w:r>
      <w:proofErr w:type="spellStart"/>
      <w:r w:rsidR="000711FC" w:rsidRPr="000711FC">
        <w:t>Dobrenko</w:t>
      </w:r>
      <w:proofErr w:type="spellEnd"/>
      <w:r w:rsidR="000711FC" w:rsidRPr="000711FC">
        <w:t xml:space="preserve">, </w:t>
      </w:r>
      <w:proofErr w:type="spellStart"/>
      <w:r w:rsidR="000711FC" w:rsidRPr="000711FC">
        <w:t>Late</w:t>
      </w:r>
      <w:proofErr w:type="spellEnd"/>
      <w:r w:rsidR="000711FC" w:rsidRPr="000711FC">
        <w:t xml:space="preserve"> </w:t>
      </w:r>
      <w:proofErr w:type="spellStart"/>
      <w:r w:rsidR="000711FC" w:rsidRPr="000711FC">
        <w:t>Stalinism</w:t>
      </w:r>
      <w:proofErr w:type="spellEnd"/>
      <w:r w:rsidR="000711FC" w:rsidRPr="000711FC">
        <w:t xml:space="preserve">: The </w:t>
      </w:r>
      <w:proofErr w:type="spellStart"/>
      <w:r w:rsidR="000711FC" w:rsidRPr="000711FC">
        <w:t>Aesthetics</w:t>
      </w:r>
      <w:proofErr w:type="spellEnd"/>
      <w:r w:rsidR="000711FC" w:rsidRPr="000711FC">
        <w:t xml:space="preserve"> of </w:t>
      </w:r>
      <w:proofErr w:type="spellStart"/>
      <w:r w:rsidR="000711FC" w:rsidRPr="000711FC">
        <w:t>Politics</w:t>
      </w:r>
      <w:proofErr w:type="spellEnd"/>
      <w:r w:rsidR="000711FC" w:rsidRPr="000711FC">
        <w:t>. p. 3</w:t>
      </w:r>
      <w:r w:rsidR="000711FC">
        <w:t>6</w:t>
      </w:r>
      <w:r w:rsidR="000711FC" w:rsidRPr="000711FC">
        <w:t>.</w:t>
      </w:r>
    </w:p>
  </w:footnote>
  <w:footnote w:id="107">
    <w:p w14:paraId="42CCC6CC" w14:textId="1885EE34" w:rsidR="00091822" w:rsidRPr="00091822" w:rsidRDefault="00091822">
      <w:pPr>
        <w:pStyle w:val="ac"/>
        <w:rPr>
          <w:lang w:val="en-US"/>
        </w:rPr>
      </w:pPr>
      <w:r>
        <w:rPr>
          <w:rStyle w:val="ae"/>
        </w:rPr>
        <w:footnoteRef/>
      </w:r>
      <w:r>
        <w:t xml:space="preserve"> </w:t>
      </w:r>
      <w:r w:rsidR="00575B61">
        <w:t>Ibid., p. 37</w:t>
      </w:r>
    </w:p>
  </w:footnote>
  <w:footnote w:id="108">
    <w:p w14:paraId="4CC33832" w14:textId="1A78BF12" w:rsidR="00A77056" w:rsidRPr="00A77056" w:rsidRDefault="00A77056">
      <w:pPr>
        <w:pStyle w:val="ac"/>
        <w:rPr>
          <w:lang w:val="en-US"/>
        </w:rPr>
      </w:pPr>
      <w:r>
        <w:rPr>
          <w:rStyle w:val="ae"/>
        </w:rPr>
        <w:footnoteRef/>
      </w:r>
      <w:r>
        <w:t xml:space="preserve"> </w:t>
      </w:r>
      <w:r w:rsidR="00575B61" w:rsidRPr="00433BEB">
        <w:rPr>
          <w:lang w:val="en-US"/>
        </w:rPr>
        <w:t xml:space="preserve">Nina Tumarkin, </w:t>
      </w:r>
      <w:r w:rsidR="00575B61" w:rsidRPr="00433BEB">
        <w:rPr>
          <w:rStyle w:val="af"/>
          <w:lang w:val="en-US"/>
        </w:rPr>
        <w:t>The Living and the Dead: The Rise and Fall of the Cult of World War II in Russia</w:t>
      </w:r>
      <w:r w:rsidR="00575B61" w:rsidRPr="00433BEB">
        <w:rPr>
          <w:lang w:val="en-US"/>
        </w:rPr>
        <w:t xml:space="preserve"> (Basic Books, 1994)</w:t>
      </w:r>
    </w:p>
  </w:footnote>
  <w:footnote w:id="109">
    <w:p w14:paraId="2958E02C" w14:textId="74658333" w:rsidR="00A77056" w:rsidRPr="00A77056" w:rsidRDefault="00A77056">
      <w:pPr>
        <w:pStyle w:val="ac"/>
        <w:rPr>
          <w:lang w:val="en-US"/>
        </w:rPr>
      </w:pPr>
      <w:r>
        <w:rPr>
          <w:rStyle w:val="ae"/>
        </w:rPr>
        <w:footnoteRef/>
      </w:r>
      <w:r>
        <w:t xml:space="preserve"> </w:t>
      </w:r>
      <w:r w:rsidR="00575B61">
        <w:t>Ibid.</w:t>
      </w:r>
    </w:p>
  </w:footnote>
  <w:footnote w:id="110">
    <w:p w14:paraId="3E2512DD" w14:textId="33F7B31F" w:rsidR="00A77056" w:rsidRPr="00A77056" w:rsidRDefault="00A77056">
      <w:pPr>
        <w:pStyle w:val="ac"/>
        <w:rPr>
          <w:lang w:val="en-US"/>
        </w:rPr>
      </w:pPr>
      <w:r>
        <w:rPr>
          <w:rStyle w:val="ae"/>
        </w:rPr>
        <w:footnoteRef/>
      </w:r>
      <w:r>
        <w:t xml:space="preserve"> </w:t>
      </w:r>
      <w:proofErr w:type="spellStart"/>
      <w:r w:rsidR="00575B61" w:rsidRPr="000711FC">
        <w:t>Evgeni</w:t>
      </w:r>
      <w:proofErr w:type="spellEnd"/>
      <w:r w:rsidR="00575B61" w:rsidRPr="000711FC">
        <w:t xml:space="preserve"> </w:t>
      </w:r>
      <w:proofErr w:type="spellStart"/>
      <w:r w:rsidR="00575B61" w:rsidRPr="000711FC">
        <w:t>Dobrenko</w:t>
      </w:r>
      <w:proofErr w:type="spellEnd"/>
      <w:r w:rsidR="00575B61" w:rsidRPr="000711FC">
        <w:t xml:space="preserve">, </w:t>
      </w:r>
      <w:proofErr w:type="spellStart"/>
      <w:r w:rsidR="00575B61" w:rsidRPr="00575B61">
        <w:rPr>
          <w:i/>
          <w:iCs/>
        </w:rPr>
        <w:t>Late</w:t>
      </w:r>
      <w:proofErr w:type="spellEnd"/>
      <w:r w:rsidR="00575B61" w:rsidRPr="00575B61">
        <w:rPr>
          <w:i/>
          <w:iCs/>
        </w:rPr>
        <w:t xml:space="preserve"> </w:t>
      </w:r>
      <w:proofErr w:type="spellStart"/>
      <w:r w:rsidR="00575B61" w:rsidRPr="00575B61">
        <w:rPr>
          <w:i/>
          <w:iCs/>
        </w:rPr>
        <w:t>Stalinism</w:t>
      </w:r>
      <w:proofErr w:type="spellEnd"/>
      <w:r w:rsidR="00575B61" w:rsidRPr="00575B61">
        <w:rPr>
          <w:i/>
          <w:iCs/>
        </w:rPr>
        <w:t xml:space="preserve">: The </w:t>
      </w:r>
      <w:proofErr w:type="spellStart"/>
      <w:r w:rsidR="00575B61" w:rsidRPr="00575B61">
        <w:rPr>
          <w:i/>
          <w:iCs/>
        </w:rPr>
        <w:t>Aesthetics</w:t>
      </w:r>
      <w:proofErr w:type="spellEnd"/>
      <w:r w:rsidR="00575B61" w:rsidRPr="00575B61">
        <w:rPr>
          <w:i/>
          <w:iCs/>
        </w:rPr>
        <w:t xml:space="preserve"> of </w:t>
      </w:r>
      <w:proofErr w:type="spellStart"/>
      <w:r w:rsidR="00575B61" w:rsidRPr="00575B61">
        <w:rPr>
          <w:i/>
          <w:iCs/>
        </w:rPr>
        <w:t>Politics</w:t>
      </w:r>
      <w:proofErr w:type="spellEnd"/>
      <w:r w:rsidR="00575B61" w:rsidRPr="000711FC">
        <w:t>.</w:t>
      </w:r>
    </w:p>
  </w:footnote>
  <w:footnote w:id="111">
    <w:p w14:paraId="134F4082" w14:textId="1A757EED" w:rsidR="00A77056" w:rsidRPr="00A77056" w:rsidRDefault="00A77056">
      <w:pPr>
        <w:pStyle w:val="ac"/>
        <w:rPr>
          <w:lang w:val="en-US"/>
        </w:rPr>
      </w:pPr>
      <w:r>
        <w:rPr>
          <w:rStyle w:val="ae"/>
        </w:rPr>
        <w:footnoteRef/>
      </w:r>
      <w:r>
        <w:t xml:space="preserve"> </w:t>
      </w:r>
      <w:proofErr w:type="spellStart"/>
      <w:r w:rsidR="00575B61" w:rsidRPr="00575B61">
        <w:t>Church</w:t>
      </w:r>
      <w:proofErr w:type="spellEnd"/>
      <w:r w:rsidR="00575B61" w:rsidRPr="00575B61">
        <w:t xml:space="preserve"> of </w:t>
      </w:r>
      <w:proofErr w:type="spellStart"/>
      <w:r w:rsidR="00575B61" w:rsidRPr="00575B61">
        <w:t>the</w:t>
      </w:r>
      <w:proofErr w:type="spellEnd"/>
      <w:r w:rsidR="00575B61" w:rsidRPr="00575B61">
        <w:t xml:space="preserve"> </w:t>
      </w:r>
      <w:proofErr w:type="spellStart"/>
      <w:r w:rsidR="00575B61" w:rsidRPr="00575B61">
        <w:t>Holy</w:t>
      </w:r>
      <w:proofErr w:type="spellEnd"/>
      <w:r w:rsidR="00575B61" w:rsidRPr="00575B61">
        <w:t xml:space="preserve"> Great </w:t>
      </w:r>
      <w:proofErr w:type="spellStart"/>
      <w:r w:rsidR="00575B61" w:rsidRPr="00575B61">
        <w:t>Martyr</w:t>
      </w:r>
      <w:proofErr w:type="spellEnd"/>
      <w:r w:rsidR="00575B61" w:rsidRPr="00575B61">
        <w:t xml:space="preserve"> </w:t>
      </w:r>
      <w:proofErr w:type="spellStart"/>
      <w:r w:rsidR="00575B61" w:rsidRPr="00575B61">
        <w:t>Demetrius</w:t>
      </w:r>
      <w:proofErr w:type="spellEnd"/>
      <w:r w:rsidR="00575B61" w:rsidRPr="00575B61">
        <w:t xml:space="preserve"> of </w:t>
      </w:r>
      <w:proofErr w:type="spellStart"/>
      <w:r w:rsidR="00575B61" w:rsidRPr="00575B61">
        <w:t>Thessaloniki</w:t>
      </w:r>
      <w:proofErr w:type="spellEnd"/>
      <w:r w:rsidR="00575B61" w:rsidRPr="00575B61">
        <w:t xml:space="preserve"> (</w:t>
      </w:r>
      <w:proofErr w:type="spellStart"/>
      <w:r w:rsidR="00575B61" w:rsidRPr="00575B61">
        <w:t>built</w:t>
      </w:r>
      <w:proofErr w:type="spellEnd"/>
      <w:r w:rsidR="00575B61" w:rsidRPr="00575B61">
        <w:t xml:space="preserve"> 2001–2003).</w:t>
      </w:r>
    </w:p>
  </w:footnote>
  <w:footnote w:id="112">
    <w:p w14:paraId="75C89250" w14:textId="72DDB7B6" w:rsidR="00A77056" w:rsidRPr="00A77056" w:rsidRDefault="00A77056">
      <w:pPr>
        <w:pStyle w:val="ac"/>
        <w:rPr>
          <w:lang w:val="en-US"/>
        </w:rPr>
      </w:pPr>
      <w:r>
        <w:rPr>
          <w:rStyle w:val="ae"/>
        </w:rPr>
        <w:footnoteRef/>
      </w:r>
      <w:r>
        <w:t xml:space="preserve"> </w:t>
      </w:r>
      <w:proofErr w:type="spellStart"/>
      <w:r w:rsidR="00575B61" w:rsidRPr="00575B61">
        <w:t>Zolt</w:t>
      </w:r>
      <w:r w:rsidR="00575B61">
        <w:t>a</w:t>
      </w:r>
      <w:r w:rsidR="00575B61" w:rsidRPr="00575B61">
        <w:t>n</w:t>
      </w:r>
      <w:proofErr w:type="spellEnd"/>
      <w:r w:rsidR="00575B61" w:rsidRPr="00575B61">
        <w:t xml:space="preserve"> </w:t>
      </w:r>
      <w:proofErr w:type="spellStart"/>
      <w:r w:rsidR="00575B61" w:rsidRPr="00575B61">
        <w:t>Sz</w:t>
      </w:r>
      <w:proofErr w:type="spellEnd"/>
      <w:r w:rsidR="00575B61" w:rsidRPr="00575B61">
        <w:t xml:space="preserve">. </w:t>
      </w:r>
      <w:proofErr w:type="spellStart"/>
      <w:r w:rsidR="00575B61" w:rsidRPr="00575B61">
        <w:t>B</w:t>
      </w:r>
      <w:r w:rsidR="00575B61">
        <w:t>iro</w:t>
      </w:r>
      <w:proofErr w:type="spellEnd"/>
      <w:r w:rsidR="00575B61" w:rsidRPr="00575B61">
        <w:t xml:space="preserve">, The </w:t>
      </w:r>
      <w:proofErr w:type="spellStart"/>
      <w:r w:rsidR="00575B61" w:rsidRPr="00575B61">
        <w:t>Falsification</w:t>
      </w:r>
      <w:proofErr w:type="spellEnd"/>
      <w:r w:rsidR="00575B61" w:rsidRPr="00575B61">
        <w:t xml:space="preserve"> of </w:t>
      </w:r>
      <w:proofErr w:type="spellStart"/>
      <w:r w:rsidR="00575B61" w:rsidRPr="00575B61">
        <w:t>History</w:t>
      </w:r>
      <w:proofErr w:type="spellEnd"/>
      <w:r w:rsidR="00575B61" w:rsidRPr="00575B61">
        <w:t xml:space="preserve">: War </w:t>
      </w:r>
      <w:proofErr w:type="spellStart"/>
      <w:r w:rsidR="00575B61" w:rsidRPr="00575B61">
        <w:t>and</w:t>
      </w:r>
      <w:proofErr w:type="spellEnd"/>
      <w:r w:rsidR="00575B61" w:rsidRPr="00575B61">
        <w:t xml:space="preserve"> Russian Memory </w:t>
      </w:r>
      <w:proofErr w:type="spellStart"/>
      <w:r w:rsidR="00575B61" w:rsidRPr="00575B61">
        <w:t>Politics</w:t>
      </w:r>
      <w:proofErr w:type="spellEnd"/>
      <w:r w:rsidR="00575B61" w:rsidRPr="00575B61">
        <w:t xml:space="preserve"> (2023).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891CE8"/>
    <w:multiLevelType w:val="hybridMultilevel"/>
    <w:tmpl w:val="B12698E0"/>
    <w:lvl w:ilvl="0" w:tplc="20000015">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403923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DE7"/>
    <w:rsid w:val="00006D5B"/>
    <w:rsid w:val="0001483E"/>
    <w:rsid w:val="000711FC"/>
    <w:rsid w:val="00076339"/>
    <w:rsid w:val="00091822"/>
    <w:rsid w:val="000B7412"/>
    <w:rsid w:val="000B7AE5"/>
    <w:rsid w:val="000D2F0B"/>
    <w:rsid w:val="00122C56"/>
    <w:rsid w:val="00130988"/>
    <w:rsid w:val="001508F1"/>
    <w:rsid w:val="00195E79"/>
    <w:rsid w:val="001B40DA"/>
    <w:rsid w:val="001C514E"/>
    <w:rsid w:val="001F1B94"/>
    <w:rsid w:val="001F2057"/>
    <w:rsid w:val="001F571A"/>
    <w:rsid w:val="002329EE"/>
    <w:rsid w:val="00234CA8"/>
    <w:rsid w:val="00241893"/>
    <w:rsid w:val="002420BD"/>
    <w:rsid w:val="002B609B"/>
    <w:rsid w:val="002C3DE7"/>
    <w:rsid w:val="002D6658"/>
    <w:rsid w:val="003560DF"/>
    <w:rsid w:val="00356274"/>
    <w:rsid w:val="00362232"/>
    <w:rsid w:val="00365BCF"/>
    <w:rsid w:val="00380893"/>
    <w:rsid w:val="003B5A62"/>
    <w:rsid w:val="003F0A79"/>
    <w:rsid w:val="00412EEC"/>
    <w:rsid w:val="004C3E37"/>
    <w:rsid w:val="004C58AF"/>
    <w:rsid w:val="004D7533"/>
    <w:rsid w:val="004F02C6"/>
    <w:rsid w:val="0051287E"/>
    <w:rsid w:val="00575B61"/>
    <w:rsid w:val="005845F8"/>
    <w:rsid w:val="005B001E"/>
    <w:rsid w:val="005B0B2E"/>
    <w:rsid w:val="005C7FEB"/>
    <w:rsid w:val="00634F83"/>
    <w:rsid w:val="0064318E"/>
    <w:rsid w:val="006508C7"/>
    <w:rsid w:val="0066480A"/>
    <w:rsid w:val="00670A45"/>
    <w:rsid w:val="006A6854"/>
    <w:rsid w:val="006B1C98"/>
    <w:rsid w:val="006F0A76"/>
    <w:rsid w:val="006F35BB"/>
    <w:rsid w:val="00715E11"/>
    <w:rsid w:val="007D39EA"/>
    <w:rsid w:val="007F14E5"/>
    <w:rsid w:val="0080353E"/>
    <w:rsid w:val="00817847"/>
    <w:rsid w:val="00822000"/>
    <w:rsid w:val="0083664A"/>
    <w:rsid w:val="00853CA7"/>
    <w:rsid w:val="00861D0E"/>
    <w:rsid w:val="00864E58"/>
    <w:rsid w:val="0088168E"/>
    <w:rsid w:val="008A6410"/>
    <w:rsid w:val="008C4533"/>
    <w:rsid w:val="008F4810"/>
    <w:rsid w:val="008F5166"/>
    <w:rsid w:val="00921B61"/>
    <w:rsid w:val="00932A54"/>
    <w:rsid w:val="00932E78"/>
    <w:rsid w:val="0093670B"/>
    <w:rsid w:val="00945242"/>
    <w:rsid w:val="00954B69"/>
    <w:rsid w:val="00971360"/>
    <w:rsid w:val="009912FD"/>
    <w:rsid w:val="009A4E1C"/>
    <w:rsid w:val="009D45EF"/>
    <w:rsid w:val="009D4809"/>
    <w:rsid w:val="009E2DCD"/>
    <w:rsid w:val="00A00C16"/>
    <w:rsid w:val="00A45928"/>
    <w:rsid w:val="00A564E6"/>
    <w:rsid w:val="00A719BA"/>
    <w:rsid w:val="00A77056"/>
    <w:rsid w:val="00A829D2"/>
    <w:rsid w:val="00AA2615"/>
    <w:rsid w:val="00B37995"/>
    <w:rsid w:val="00B443B1"/>
    <w:rsid w:val="00B741D8"/>
    <w:rsid w:val="00B778D1"/>
    <w:rsid w:val="00BB37AC"/>
    <w:rsid w:val="00BB54E8"/>
    <w:rsid w:val="00BC43C6"/>
    <w:rsid w:val="00BD040B"/>
    <w:rsid w:val="00BF27AB"/>
    <w:rsid w:val="00BF3372"/>
    <w:rsid w:val="00C0385B"/>
    <w:rsid w:val="00C20ED1"/>
    <w:rsid w:val="00C96649"/>
    <w:rsid w:val="00CC6DFB"/>
    <w:rsid w:val="00CD57B4"/>
    <w:rsid w:val="00D0541C"/>
    <w:rsid w:val="00D22CAB"/>
    <w:rsid w:val="00D624CF"/>
    <w:rsid w:val="00D94D1E"/>
    <w:rsid w:val="00DA3867"/>
    <w:rsid w:val="00DB4281"/>
    <w:rsid w:val="00DC1967"/>
    <w:rsid w:val="00DC5AD8"/>
    <w:rsid w:val="00DD1222"/>
    <w:rsid w:val="00DD74CA"/>
    <w:rsid w:val="00DF6AD1"/>
    <w:rsid w:val="00E53D90"/>
    <w:rsid w:val="00E76FB6"/>
    <w:rsid w:val="00E77A2A"/>
    <w:rsid w:val="00E95A30"/>
    <w:rsid w:val="00ED03E1"/>
    <w:rsid w:val="00F24A8C"/>
    <w:rsid w:val="00F50003"/>
    <w:rsid w:val="00FB0F58"/>
    <w:rsid w:val="00FD6322"/>
    <w:rsid w:val="00FE4924"/>
    <w:rsid w:val="00FF33AB"/>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94B44"/>
  <w15:chartTrackingRefBased/>
  <w15:docId w15:val="{3B944EE8-7C82-4141-A39F-B55F26BD5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ru-K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32E78"/>
  </w:style>
  <w:style w:type="paragraph" w:styleId="1">
    <w:name w:val="heading 1"/>
    <w:basedOn w:val="a"/>
    <w:next w:val="a"/>
    <w:link w:val="10"/>
    <w:uiPriority w:val="9"/>
    <w:qFormat/>
    <w:rsid w:val="002C3DE7"/>
    <w:pPr>
      <w:keepNext/>
      <w:keepLines/>
      <w:spacing w:before="360" w:after="80"/>
      <w:outlineLvl w:val="0"/>
    </w:pPr>
    <w:rPr>
      <w:rFonts w:asciiTheme="majorHAnsi" w:eastAsiaTheme="majorEastAsia" w:hAnsiTheme="majorHAnsi" w:cstheme="majorBidi"/>
      <w:color w:val="0F4761" w:themeColor="accent1" w:themeShade="BF"/>
      <w:sz w:val="40"/>
      <w:szCs w:val="40"/>
      <w:lang w:val="en-US"/>
    </w:rPr>
  </w:style>
  <w:style w:type="paragraph" w:styleId="2">
    <w:name w:val="heading 2"/>
    <w:basedOn w:val="a"/>
    <w:next w:val="a"/>
    <w:link w:val="20"/>
    <w:uiPriority w:val="9"/>
    <w:semiHidden/>
    <w:unhideWhenUsed/>
    <w:qFormat/>
    <w:rsid w:val="002C3DE7"/>
    <w:pPr>
      <w:keepNext/>
      <w:keepLines/>
      <w:spacing w:before="160" w:after="80"/>
      <w:outlineLvl w:val="1"/>
    </w:pPr>
    <w:rPr>
      <w:rFonts w:asciiTheme="majorHAnsi" w:eastAsiaTheme="majorEastAsia" w:hAnsiTheme="majorHAnsi" w:cstheme="majorBidi"/>
      <w:color w:val="0F4761" w:themeColor="accent1" w:themeShade="BF"/>
      <w:sz w:val="32"/>
      <w:szCs w:val="32"/>
      <w:lang w:val="en-US"/>
    </w:rPr>
  </w:style>
  <w:style w:type="paragraph" w:styleId="3">
    <w:name w:val="heading 3"/>
    <w:basedOn w:val="a"/>
    <w:next w:val="a"/>
    <w:link w:val="30"/>
    <w:uiPriority w:val="9"/>
    <w:semiHidden/>
    <w:unhideWhenUsed/>
    <w:qFormat/>
    <w:rsid w:val="002C3DE7"/>
    <w:pPr>
      <w:keepNext/>
      <w:keepLines/>
      <w:spacing w:before="160" w:after="80"/>
      <w:outlineLvl w:val="2"/>
    </w:pPr>
    <w:rPr>
      <w:rFonts w:asciiTheme="minorHAnsi" w:eastAsiaTheme="majorEastAsia" w:hAnsiTheme="minorHAnsi" w:cstheme="majorBidi"/>
      <w:color w:val="0F4761" w:themeColor="accent1" w:themeShade="BF"/>
      <w:sz w:val="28"/>
      <w:szCs w:val="28"/>
      <w:lang w:val="en-US"/>
    </w:rPr>
  </w:style>
  <w:style w:type="paragraph" w:styleId="4">
    <w:name w:val="heading 4"/>
    <w:basedOn w:val="a"/>
    <w:next w:val="a"/>
    <w:link w:val="40"/>
    <w:uiPriority w:val="9"/>
    <w:semiHidden/>
    <w:unhideWhenUsed/>
    <w:qFormat/>
    <w:rsid w:val="002C3DE7"/>
    <w:pPr>
      <w:keepNext/>
      <w:keepLines/>
      <w:spacing w:before="80" w:after="40"/>
      <w:outlineLvl w:val="3"/>
    </w:pPr>
    <w:rPr>
      <w:rFonts w:asciiTheme="minorHAnsi" w:eastAsiaTheme="majorEastAsia" w:hAnsiTheme="minorHAnsi" w:cstheme="majorBidi"/>
      <w:i/>
      <w:iCs/>
      <w:color w:val="0F4761" w:themeColor="accent1" w:themeShade="BF"/>
      <w:lang w:val="en-US"/>
    </w:rPr>
  </w:style>
  <w:style w:type="paragraph" w:styleId="5">
    <w:name w:val="heading 5"/>
    <w:basedOn w:val="a"/>
    <w:next w:val="a"/>
    <w:link w:val="50"/>
    <w:uiPriority w:val="9"/>
    <w:semiHidden/>
    <w:unhideWhenUsed/>
    <w:qFormat/>
    <w:rsid w:val="002C3DE7"/>
    <w:pPr>
      <w:keepNext/>
      <w:keepLines/>
      <w:spacing w:before="80" w:after="40"/>
      <w:outlineLvl w:val="4"/>
    </w:pPr>
    <w:rPr>
      <w:rFonts w:asciiTheme="minorHAnsi" w:eastAsiaTheme="majorEastAsia" w:hAnsiTheme="minorHAnsi" w:cstheme="majorBidi"/>
      <w:color w:val="0F4761" w:themeColor="accent1" w:themeShade="BF"/>
      <w:lang w:val="en-US"/>
    </w:rPr>
  </w:style>
  <w:style w:type="paragraph" w:styleId="6">
    <w:name w:val="heading 6"/>
    <w:basedOn w:val="a"/>
    <w:next w:val="a"/>
    <w:link w:val="60"/>
    <w:uiPriority w:val="9"/>
    <w:semiHidden/>
    <w:unhideWhenUsed/>
    <w:qFormat/>
    <w:rsid w:val="002C3DE7"/>
    <w:pPr>
      <w:keepNext/>
      <w:keepLines/>
      <w:spacing w:before="40" w:after="0"/>
      <w:outlineLvl w:val="5"/>
    </w:pPr>
    <w:rPr>
      <w:rFonts w:asciiTheme="minorHAnsi" w:eastAsiaTheme="majorEastAsia" w:hAnsiTheme="minorHAnsi" w:cstheme="majorBidi"/>
      <w:i/>
      <w:iCs/>
      <w:color w:val="595959" w:themeColor="text1" w:themeTint="A6"/>
      <w:lang w:val="en-US"/>
    </w:rPr>
  </w:style>
  <w:style w:type="paragraph" w:styleId="7">
    <w:name w:val="heading 7"/>
    <w:basedOn w:val="a"/>
    <w:next w:val="a"/>
    <w:link w:val="70"/>
    <w:uiPriority w:val="9"/>
    <w:semiHidden/>
    <w:unhideWhenUsed/>
    <w:qFormat/>
    <w:rsid w:val="002C3DE7"/>
    <w:pPr>
      <w:keepNext/>
      <w:keepLines/>
      <w:spacing w:before="40" w:after="0"/>
      <w:outlineLvl w:val="6"/>
    </w:pPr>
    <w:rPr>
      <w:rFonts w:asciiTheme="minorHAnsi" w:eastAsiaTheme="majorEastAsia" w:hAnsiTheme="minorHAnsi" w:cstheme="majorBidi"/>
      <w:color w:val="595959" w:themeColor="text1" w:themeTint="A6"/>
      <w:lang w:val="en-US"/>
    </w:rPr>
  </w:style>
  <w:style w:type="paragraph" w:styleId="8">
    <w:name w:val="heading 8"/>
    <w:basedOn w:val="a"/>
    <w:next w:val="a"/>
    <w:link w:val="80"/>
    <w:uiPriority w:val="9"/>
    <w:semiHidden/>
    <w:unhideWhenUsed/>
    <w:qFormat/>
    <w:rsid w:val="002C3DE7"/>
    <w:pPr>
      <w:keepNext/>
      <w:keepLines/>
      <w:spacing w:after="0"/>
      <w:outlineLvl w:val="7"/>
    </w:pPr>
    <w:rPr>
      <w:rFonts w:asciiTheme="minorHAnsi" w:eastAsiaTheme="majorEastAsia" w:hAnsiTheme="minorHAnsi" w:cstheme="majorBidi"/>
      <w:i/>
      <w:iCs/>
      <w:color w:val="272727" w:themeColor="text1" w:themeTint="D8"/>
      <w:lang w:val="en-US"/>
    </w:rPr>
  </w:style>
  <w:style w:type="paragraph" w:styleId="9">
    <w:name w:val="heading 9"/>
    <w:basedOn w:val="a"/>
    <w:next w:val="a"/>
    <w:link w:val="90"/>
    <w:uiPriority w:val="9"/>
    <w:semiHidden/>
    <w:unhideWhenUsed/>
    <w:qFormat/>
    <w:rsid w:val="002C3DE7"/>
    <w:pPr>
      <w:keepNext/>
      <w:keepLines/>
      <w:spacing w:after="0"/>
      <w:outlineLvl w:val="8"/>
    </w:pPr>
    <w:rPr>
      <w:rFonts w:asciiTheme="minorHAnsi" w:eastAsiaTheme="majorEastAsia" w:hAnsiTheme="minorHAnsi" w:cstheme="majorBidi"/>
      <w:color w:val="272727" w:themeColor="text1" w:themeTint="D8"/>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C3DE7"/>
    <w:rPr>
      <w:rFonts w:asciiTheme="majorHAnsi" w:eastAsiaTheme="majorEastAsia" w:hAnsiTheme="majorHAnsi" w:cstheme="majorBidi"/>
      <w:color w:val="0F4761" w:themeColor="accent1" w:themeShade="BF"/>
      <w:sz w:val="40"/>
      <w:szCs w:val="40"/>
      <w:lang w:val="en-US"/>
    </w:rPr>
  </w:style>
  <w:style w:type="character" w:customStyle="1" w:styleId="20">
    <w:name w:val="Заголовок 2 Знак"/>
    <w:basedOn w:val="a0"/>
    <w:link w:val="2"/>
    <w:uiPriority w:val="9"/>
    <w:semiHidden/>
    <w:rsid w:val="002C3DE7"/>
    <w:rPr>
      <w:rFonts w:asciiTheme="majorHAnsi" w:eastAsiaTheme="majorEastAsia" w:hAnsiTheme="majorHAnsi" w:cstheme="majorBidi"/>
      <w:color w:val="0F4761" w:themeColor="accent1" w:themeShade="BF"/>
      <w:sz w:val="32"/>
      <w:szCs w:val="32"/>
      <w:lang w:val="en-US"/>
    </w:rPr>
  </w:style>
  <w:style w:type="character" w:customStyle="1" w:styleId="30">
    <w:name w:val="Заголовок 3 Знак"/>
    <w:basedOn w:val="a0"/>
    <w:link w:val="3"/>
    <w:uiPriority w:val="9"/>
    <w:semiHidden/>
    <w:rsid w:val="002C3DE7"/>
    <w:rPr>
      <w:rFonts w:asciiTheme="minorHAnsi" w:eastAsiaTheme="majorEastAsia" w:hAnsiTheme="minorHAnsi" w:cstheme="majorBidi"/>
      <w:color w:val="0F4761" w:themeColor="accent1" w:themeShade="BF"/>
      <w:sz w:val="28"/>
      <w:szCs w:val="28"/>
      <w:lang w:val="en-US"/>
    </w:rPr>
  </w:style>
  <w:style w:type="character" w:customStyle="1" w:styleId="40">
    <w:name w:val="Заголовок 4 Знак"/>
    <w:basedOn w:val="a0"/>
    <w:link w:val="4"/>
    <w:uiPriority w:val="9"/>
    <w:semiHidden/>
    <w:rsid w:val="002C3DE7"/>
    <w:rPr>
      <w:rFonts w:asciiTheme="minorHAnsi" w:eastAsiaTheme="majorEastAsia" w:hAnsiTheme="minorHAnsi" w:cstheme="majorBidi"/>
      <w:i/>
      <w:iCs/>
      <w:color w:val="0F4761" w:themeColor="accent1" w:themeShade="BF"/>
      <w:lang w:val="en-US"/>
    </w:rPr>
  </w:style>
  <w:style w:type="character" w:customStyle="1" w:styleId="50">
    <w:name w:val="Заголовок 5 Знак"/>
    <w:basedOn w:val="a0"/>
    <w:link w:val="5"/>
    <w:uiPriority w:val="9"/>
    <w:semiHidden/>
    <w:rsid w:val="002C3DE7"/>
    <w:rPr>
      <w:rFonts w:asciiTheme="minorHAnsi" w:eastAsiaTheme="majorEastAsia" w:hAnsiTheme="minorHAnsi" w:cstheme="majorBidi"/>
      <w:color w:val="0F4761" w:themeColor="accent1" w:themeShade="BF"/>
      <w:lang w:val="en-US"/>
    </w:rPr>
  </w:style>
  <w:style w:type="character" w:customStyle="1" w:styleId="60">
    <w:name w:val="Заголовок 6 Знак"/>
    <w:basedOn w:val="a0"/>
    <w:link w:val="6"/>
    <w:uiPriority w:val="9"/>
    <w:semiHidden/>
    <w:rsid w:val="002C3DE7"/>
    <w:rPr>
      <w:rFonts w:asciiTheme="minorHAnsi" w:eastAsiaTheme="majorEastAsia" w:hAnsiTheme="minorHAnsi" w:cstheme="majorBidi"/>
      <w:i/>
      <w:iCs/>
      <w:color w:val="595959" w:themeColor="text1" w:themeTint="A6"/>
      <w:lang w:val="en-US"/>
    </w:rPr>
  </w:style>
  <w:style w:type="character" w:customStyle="1" w:styleId="70">
    <w:name w:val="Заголовок 7 Знак"/>
    <w:basedOn w:val="a0"/>
    <w:link w:val="7"/>
    <w:uiPriority w:val="9"/>
    <w:semiHidden/>
    <w:rsid w:val="002C3DE7"/>
    <w:rPr>
      <w:rFonts w:asciiTheme="minorHAnsi" w:eastAsiaTheme="majorEastAsia" w:hAnsiTheme="minorHAnsi" w:cstheme="majorBidi"/>
      <w:color w:val="595959" w:themeColor="text1" w:themeTint="A6"/>
      <w:lang w:val="en-US"/>
    </w:rPr>
  </w:style>
  <w:style w:type="character" w:customStyle="1" w:styleId="80">
    <w:name w:val="Заголовок 8 Знак"/>
    <w:basedOn w:val="a0"/>
    <w:link w:val="8"/>
    <w:uiPriority w:val="9"/>
    <w:semiHidden/>
    <w:rsid w:val="002C3DE7"/>
    <w:rPr>
      <w:rFonts w:asciiTheme="minorHAnsi" w:eastAsiaTheme="majorEastAsia" w:hAnsiTheme="minorHAnsi" w:cstheme="majorBidi"/>
      <w:i/>
      <w:iCs/>
      <w:color w:val="272727" w:themeColor="text1" w:themeTint="D8"/>
      <w:lang w:val="en-US"/>
    </w:rPr>
  </w:style>
  <w:style w:type="character" w:customStyle="1" w:styleId="90">
    <w:name w:val="Заголовок 9 Знак"/>
    <w:basedOn w:val="a0"/>
    <w:link w:val="9"/>
    <w:uiPriority w:val="9"/>
    <w:semiHidden/>
    <w:rsid w:val="002C3DE7"/>
    <w:rPr>
      <w:rFonts w:asciiTheme="minorHAnsi" w:eastAsiaTheme="majorEastAsia" w:hAnsiTheme="minorHAnsi" w:cstheme="majorBidi"/>
      <w:color w:val="272727" w:themeColor="text1" w:themeTint="D8"/>
      <w:lang w:val="en-US"/>
    </w:rPr>
  </w:style>
  <w:style w:type="paragraph" w:styleId="a3">
    <w:name w:val="Title"/>
    <w:basedOn w:val="a"/>
    <w:next w:val="a"/>
    <w:link w:val="a4"/>
    <w:uiPriority w:val="10"/>
    <w:qFormat/>
    <w:rsid w:val="002C3DE7"/>
    <w:pPr>
      <w:spacing w:after="80" w:line="240" w:lineRule="auto"/>
      <w:contextualSpacing/>
    </w:pPr>
    <w:rPr>
      <w:rFonts w:asciiTheme="majorHAnsi" w:eastAsiaTheme="majorEastAsia" w:hAnsiTheme="majorHAnsi" w:cstheme="majorBidi"/>
      <w:spacing w:val="-10"/>
      <w:kern w:val="28"/>
      <w:sz w:val="56"/>
      <w:szCs w:val="56"/>
      <w:lang w:val="en-US"/>
    </w:rPr>
  </w:style>
  <w:style w:type="character" w:customStyle="1" w:styleId="a4">
    <w:name w:val="Заголовок Знак"/>
    <w:basedOn w:val="a0"/>
    <w:link w:val="a3"/>
    <w:uiPriority w:val="10"/>
    <w:rsid w:val="002C3DE7"/>
    <w:rPr>
      <w:rFonts w:asciiTheme="majorHAnsi" w:eastAsiaTheme="majorEastAsia" w:hAnsiTheme="majorHAnsi" w:cstheme="majorBidi"/>
      <w:spacing w:val="-10"/>
      <w:kern w:val="28"/>
      <w:sz w:val="56"/>
      <w:szCs w:val="56"/>
      <w:lang w:val="en-US"/>
    </w:rPr>
  </w:style>
  <w:style w:type="paragraph" w:styleId="a5">
    <w:name w:val="Subtitle"/>
    <w:basedOn w:val="a"/>
    <w:next w:val="a"/>
    <w:link w:val="a6"/>
    <w:uiPriority w:val="11"/>
    <w:qFormat/>
    <w:rsid w:val="002C3DE7"/>
    <w:pPr>
      <w:numPr>
        <w:ilvl w:val="1"/>
      </w:numPr>
    </w:pPr>
    <w:rPr>
      <w:rFonts w:asciiTheme="minorHAnsi" w:eastAsiaTheme="majorEastAsia" w:hAnsiTheme="minorHAnsi" w:cstheme="majorBidi"/>
      <w:color w:val="595959" w:themeColor="text1" w:themeTint="A6"/>
      <w:spacing w:val="15"/>
      <w:sz w:val="28"/>
      <w:szCs w:val="28"/>
      <w:lang w:val="en-US"/>
    </w:rPr>
  </w:style>
  <w:style w:type="character" w:customStyle="1" w:styleId="a6">
    <w:name w:val="Подзаголовок Знак"/>
    <w:basedOn w:val="a0"/>
    <w:link w:val="a5"/>
    <w:uiPriority w:val="11"/>
    <w:rsid w:val="002C3DE7"/>
    <w:rPr>
      <w:rFonts w:asciiTheme="minorHAnsi" w:eastAsiaTheme="majorEastAsia" w:hAnsiTheme="minorHAnsi" w:cstheme="majorBidi"/>
      <w:color w:val="595959" w:themeColor="text1" w:themeTint="A6"/>
      <w:spacing w:val="15"/>
      <w:sz w:val="28"/>
      <w:szCs w:val="28"/>
      <w:lang w:val="en-US"/>
    </w:rPr>
  </w:style>
  <w:style w:type="paragraph" w:styleId="21">
    <w:name w:val="Quote"/>
    <w:basedOn w:val="a"/>
    <w:next w:val="a"/>
    <w:link w:val="22"/>
    <w:uiPriority w:val="29"/>
    <w:qFormat/>
    <w:rsid w:val="002C3DE7"/>
    <w:pPr>
      <w:spacing w:before="160"/>
      <w:jc w:val="center"/>
    </w:pPr>
    <w:rPr>
      <w:i/>
      <w:iCs/>
      <w:color w:val="404040" w:themeColor="text1" w:themeTint="BF"/>
      <w:lang w:val="en-US"/>
    </w:rPr>
  </w:style>
  <w:style w:type="character" w:customStyle="1" w:styleId="22">
    <w:name w:val="Цитата 2 Знак"/>
    <w:basedOn w:val="a0"/>
    <w:link w:val="21"/>
    <w:uiPriority w:val="29"/>
    <w:rsid w:val="002C3DE7"/>
    <w:rPr>
      <w:i/>
      <w:iCs/>
      <w:color w:val="404040" w:themeColor="text1" w:themeTint="BF"/>
      <w:lang w:val="en-US"/>
    </w:rPr>
  </w:style>
  <w:style w:type="paragraph" w:styleId="a7">
    <w:name w:val="List Paragraph"/>
    <w:basedOn w:val="a"/>
    <w:uiPriority w:val="34"/>
    <w:qFormat/>
    <w:rsid w:val="002C3DE7"/>
    <w:pPr>
      <w:ind w:left="720"/>
      <w:contextualSpacing/>
    </w:pPr>
    <w:rPr>
      <w:lang w:val="en-US"/>
    </w:rPr>
  </w:style>
  <w:style w:type="character" w:styleId="a8">
    <w:name w:val="Intense Emphasis"/>
    <w:basedOn w:val="a0"/>
    <w:uiPriority w:val="21"/>
    <w:qFormat/>
    <w:rsid w:val="002C3DE7"/>
    <w:rPr>
      <w:i/>
      <w:iCs/>
      <w:color w:val="0F4761" w:themeColor="accent1" w:themeShade="BF"/>
    </w:rPr>
  </w:style>
  <w:style w:type="paragraph" w:styleId="a9">
    <w:name w:val="Intense Quote"/>
    <w:basedOn w:val="a"/>
    <w:next w:val="a"/>
    <w:link w:val="aa"/>
    <w:uiPriority w:val="30"/>
    <w:qFormat/>
    <w:rsid w:val="002C3D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lang w:val="en-US"/>
    </w:rPr>
  </w:style>
  <w:style w:type="character" w:customStyle="1" w:styleId="aa">
    <w:name w:val="Выделенная цитата Знак"/>
    <w:basedOn w:val="a0"/>
    <w:link w:val="a9"/>
    <w:uiPriority w:val="30"/>
    <w:rsid w:val="002C3DE7"/>
    <w:rPr>
      <w:i/>
      <w:iCs/>
      <w:color w:val="0F4761" w:themeColor="accent1" w:themeShade="BF"/>
      <w:lang w:val="en-US"/>
    </w:rPr>
  </w:style>
  <w:style w:type="character" w:styleId="ab">
    <w:name w:val="Intense Reference"/>
    <w:basedOn w:val="a0"/>
    <w:uiPriority w:val="32"/>
    <w:qFormat/>
    <w:rsid w:val="002C3DE7"/>
    <w:rPr>
      <w:b/>
      <w:bCs/>
      <w:smallCaps/>
      <w:color w:val="0F4761" w:themeColor="accent1" w:themeShade="BF"/>
      <w:spacing w:val="5"/>
    </w:rPr>
  </w:style>
  <w:style w:type="paragraph" w:styleId="ac">
    <w:name w:val="footnote text"/>
    <w:basedOn w:val="a"/>
    <w:link w:val="ad"/>
    <w:uiPriority w:val="99"/>
    <w:semiHidden/>
    <w:unhideWhenUsed/>
    <w:rsid w:val="00932E78"/>
    <w:pPr>
      <w:spacing w:after="0" w:line="240" w:lineRule="auto"/>
    </w:pPr>
    <w:rPr>
      <w:sz w:val="20"/>
      <w:szCs w:val="20"/>
    </w:rPr>
  </w:style>
  <w:style w:type="character" w:customStyle="1" w:styleId="ad">
    <w:name w:val="Текст сноски Знак"/>
    <w:basedOn w:val="a0"/>
    <w:link w:val="ac"/>
    <w:uiPriority w:val="99"/>
    <w:semiHidden/>
    <w:rsid w:val="00932E78"/>
    <w:rPr>
      <w:sz w:val="20"/>
      <w:szCs w:val="20"/>
    </w:rPr>
  </w:style>
  <w:style w:type="character" w:styleId="ae">
    <w:name w:val="footnote reference"/>
    <w:basedOn w:val="a0"/>
    <w:uiPriority w:val="99"/>
    <w:semiHidden/>
    <w:unhideWhenUsed/>
    <w:rsid w:val="00932E78"/>
    <w:rPr>
      <w:vertAlign w:val="superscript"/>
    </w:rPr>
  </w:style>
  <w:style w:type="character" w:styleId="af">
    <w:name w:val="Emphasis"/>
    <w:basedOn w:val="a0"/>
    <w:uiPriority w:val="20"/>
    <w:qFormat/>
    <w:rsid w:val="00932E78"/>
    <w:rPr>
      <w:i/>
      <w:iCs/>
    </w:rPr>
  </w:style>
  <w:style w:type="paragraph" w:styleId="af0">
    <w:name w:val="Normal (Web)"/>
    <w:basedOn w:val="a"/>
    <w:uiPriority w:val="99"/>
    <w:semiHidden/>
    <w:unhideWhenUsed/>
    <w:rsid w:val="0001483E"/>
  </w:style>
  <w:style w:type="character" w:styleId="af1">
    <w:name w:val="annotation reference"/>
    <w:basedOn w:val="a0"/>
    <w:uiPriority w:val="99"/>
    <w:semiHidden/>
    <w:unhideWhenUsed/>
    <w:rsid w:val="008F5166"/>
    <w:rPr>
      <w:sz w:val="16"/>
      <w:szCs w:val="16"/>
    </w:rPr>
  </w:style>
  <w:style w:type="paragraph" w:styleId="af2">
    <w:name w:val="annotation text"/>
    <w:basedOn w:val="a"/>
    <w:link w:val="af3"/>
    <w:uiPriority w:val="99"/>
    <w:unhideWhenUsed/>
    <w:rsid w:val="008F5166"/>
    <w:pPr>
      <w:spacing w:line="240" w:lineRule="auto"/>
    </w:pPr>
    <w:rPr>
      <w:sz w:val="20"/>
      <w:szCs w:val="20"/>
    </w:rPr>
  </w:style>
  <w:style w:type="character" w:customStyle="1" w:styleId="af3">
    <w:name w:val="Текст примечания Знак"/>
    <w:basedOn w:val="a0"/>
    <w:link w:val="af2"/>
    <w:uiPriority w:val="99"/>
    <w:rsid w:val="008F5166"/>
    <w:rPr>
      <w:sz w:val="20"/>
      <w:szCs w:val="20"/>
    </w:rPr>
  </w:style>
  <w:style w:type="paragraph" w:styleId="af4">
    <w:name w:val="annotation subject"/>
    <w:basedOn w:val="af2"/>
    <w:next w:val="af2"/>
    <w:link w:val="af5"/>
    <w:uiPriority w:val="99"/>
    <w:semiHidden/>
    <w:unhideWhenUsed/>
    <w:rsid w:val="008F5166"/>
    <w:rPr>
      <w:b/>
      <w:bCs/>
    </w:rPr>
  </w:style>
  <w:style w:type="character" w:customStyle="1" w:styleId="af5">
    <w:name w:val="Тема примечания Знак"/>
    <w:basedOn w:val="af3"/>
    <w:link w:val="af4"/>
    <w:uiPriority w:val="99"/>
    <w:semiHidden/>
    <w:rsid w:val="008F5166"/>
    <w:rPr>
      <w:b/>
      <w:bCs/>
      <w:sz w:val="20"/>
      <w:szCs w:val="20"/>
    </w:rPr>
  </w:style>
  <w:style w:type="paragraph" w:customStyle="1" w:styleId="ds-markdown-paragraph">
    <w:name w:val="ds-markdown-paragraph"/>
    <w:basedOn w:val="a"/>
    <w:rsid w:val="00864E58"/>
    <w:pPr>
      <w:spacing w:before="100" w:beforeAutospacing="1" w:after="100" w:afterAutospacing="1" w:line="240" w:lineRule="auto"/>
    </w:pPr>
    <w:rPr>
      <w:rFonts w:eastAsia="Times New Roman"/>
      <w:kern w:val="0"/>
      <w:lang w:val="ru-KZ" w:eastAsia="ru-KZ"/>
      <w14:ligatures w14:val="none"/>
    </w:rPr>
  </w:style>
  <w:style w:type="character" w:styleId="af6">
    <w:name w:val="Hyperlink"/>
    <w:basedOn w:val="a0"/>
    <w:uiPriority w:val="99"/>
    <w:unhideWhenUsed/>
    <w:rsid w:val="00864E58"/>
    <w:rPr>
      <w:color w:val="0000FF"/>
      <w:u w:val="single"/>
    </w:rPr>
  </w:style>
  <w:style w:type="character" w:styleId="af7">
    <w:name w:val="Unresolved Mention"/>
    <w:basedOn w:val="a0"/>
    <w:uiPriority w:val="99"/>
    <w:semiHidden/>
    <w:unhideWhenUsed/>
    <w:rsid w:val="00864E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youtu.be/2Mr_ckGQ7NE?si=rkSUQpX8_b0rB4Q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3473</TotalTime>
  <Pages>1</Pages>
  <Words>10109</Words>
  <Characters>57627</Characters>
  <Application>Microsoft Office Word</Application>
  <DocSecurity>0</DocSecurity>
  <Lines>480</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saailaubaeva25@gmail.com</dc:creator>
  <cp:keywords/>
  <dc:description/>
  <cp:lastModifiedBy>saailaubaeva25@gmail.com</cp:lastModifiedBy>
  <cp:revision>15</cp:revision>
  <dcterms:created xsi:type="dcterms:W3CDTF">2026-02-27T21:25:00Z</dcterms:created>
  <dcterms:modified xsi:type="dcterms:W3CDTF">2026-05-04T01:31:00Z</dcterms:modified>
</cp:coreProperties>
</file>