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09CA"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0A106427"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31DED082"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4BF1E8BD" w14:textId="77777777" w:rsidR="007A00DD" w:rsidRDefault="007A00DD">
      <w:pPr>
        <w:spacing w:before="240" w:after="240" w:line="480" w:lineRule="auto"/>
        <w:jc w:val="both"/>
        <w:rPr>
          <w:rFonts w:ascii="Times New Roman" w:eastAsia="Times New Roman" w:hAnsi="Times New Roman" w:cs="Times New Roman"/>
          <w:sz w:val="24"/>
          <w:szCs w:val="24"/>
        </w:rPr>
      </w:pPr>
    </w:p>
    <w:p w14:paraId="1A7A6883" w14:textId="77777777" w:rsidR="007A00DD" w:rsidRDefault="007A00DD">
      <w:pPr>
        <w:spacing w:before="240" w:after="240" w:line="480" w:lineRule="auto"/>
        <w:jc w:val="both"/>
        <w:rPr>
          <w:rFonts w:ascii="Times New Roman" w:eastAsia="Times New Roman" w:hAnsi="Times New Roman" w:cs="Times New Roman"/>
          <w:sz w:val="24"/>
          <w:szCs w:val="24"/>
        </w:rPr>
      </w:pPr>
    </w:p>
    <w:p w14:paraId="650838DD"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Screening for inhibitors of Zeb1, a key regulator of Epithelial to Mesenchymal Transition (EMT) in breast cancer cells </w:t>
      </w:r>
    </w:p>
    <w:p w14:paraId="077A56DF"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Rustam Alimkulov</w:t>
      </w:r>
    </w:p>
    <w:p w14:paraId="7B6361A7"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PI: Nickolai Barlev</w:t>
      </w:r>
    </w:p>
    <w:p w14:paraId="2EA65029"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Co-Pi: Eugene Tulchinsky</w:t>
      </w:r>
    </w:p>
    <w:p w14:paraId="3D5DFE8D"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01.03.2026</w:t>
      </w:r>
    </w:p>
    <w:p w14:paraId="59FB2FE7"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1469921A"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3116B97A"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4FD6427A"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69C13542" w14:textId="77777777" w:rsidR="007A00DD" w:rsidRDefault="007A00DD">
      <w:pPr>
        <w:spacing w:before="240" w:after="240" w:line="480" w:lineRule="auto"/>
        <w:ind w:left="720"/>
        <w:jc w:val="both"/>
        <w:rPr>
          <w:rFonts w:ascii="Times New Roman" w:eastAsia="Times New Roman" w:hAnsi="Times New Roman" w:cs="Times New Roman"/>
          <w:sz w:val="24"/>
          <w:szCs w:val="24"/>
        </w:rPr>
      </w:pPr>
    </w:p>
    <w:p w14:paraId="3425173E" w14:textId="77777777" w:rsidR="007A00DD" w:rsidRDefault="007A00DD">
      <w:pPr>
        <w:spacing w:before="240" w:after="240" w:line="480" w:lineRule="auto"/>
        <w:jc w:val="both"/>
        <w:rPr>
          <w:rFonts w:ascii="Times New Roman" w:eastAsia="Times New Roman" w:hAnsi="Times New Roman" w:cs="Times New Roman"/>
          <w:sz w:val="24"/>
          <w:szCs w:val="24"/>
        </w:rPr>
      </w:pPr>
    </w:p>
    <w:p w14:paraId="0DF97F71"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Abstract</w:t>
      </w:r>
      <w:r>
        <w:rPr>
          <w:rFonts w:ascii="Times New Roman" w:eastAsia="Times New Roman" w:hAnsi="Times New Roman" w:cs="Times New Roman"/>
          <w:sz w:val="24"/>
          <w:szCs w:val="24"/>
        </w:rPr>
        <w:t xml:space="preserve"> </w:t>
      </w:r>
    </w:p>
    <w:p w14:paraId="379AC454"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Breast cancer is a global healthcare burden. This type of malignancy accounts for approximately 670,000 deaths annually. The primary cause of mortality is metastasis. Metastasis is dissemination of cancer cells from primary tumor to other parts of the body. The molecular mechanism that promotes dissemination of cancer cells is mediated by Epithelial-to-Mesenchymal Transition (EMT) enabling cellular motility. Several transcription factors, including Zeb1, regulate the initiation of EMT. This project aimed to screen for small-molecule inhibitors targeting Zeb1 activity. We utilized a Zeb1-negative epithelial MCF-7 breast cancer cell line with Tetracycline-inducible Zeb1 expression. Western Blot analysis confirmed the validity of the model. The protein profile demonstrated that Zeb1 induction inversely correlates with E-cadherin expression. Downregulation of E-cadherin is a fundamental hallmark of the transition into a motile state. We evaluated candidate small-molecule compounds for their impact on Zeb1-driven apoptosis and cell cycle arrest using Flow Cytometry. However, preliminary results indicated limited efficacy of the selected compounds. We attempted to build a rescue model by stably transfecting Zeb1-knockout MDA-MB-231 cells. While control GFP transfection was successful, stable integration of Zeb1 plasmids via lipofection proved inefficient under antibiotic selection. We plan to employ viral transduction to generate more robust, stable lines.</w:t>
      </w:r>
    </w:p>
    <w:p w14:paraId="476A9FC9"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Introduction </w:t>
      </w:r>
    </w:p>
    <w:p w14:paraId="6080B09E"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Metastatic breast cancer (MBC) is a critical global healthcare burden. MBC accounts for approximately 90% of breast cancer-related mortality, despite advances in early detection (Afifi et al., 2020). The progression towards metastasis relies heavily on epithelial-mesenchymal </w:t>
      </w:r>
      <w:r>
        <w:rPr>
          <w:rFonts w:ascii="Times New Roman" w:eastAsia="Times New Roman" w:hAnsi="Times New Roman" w:cs="Times New Roman"/>
          <w:sz w:val="24"/>
          <w:szCs w:val="24"/>
        </w:rPr>
        <w:lastRenderedPageBreak/>
        <w:t>transition (EMT). EMT is a natural developmental program that transforms rigidly adherent epithelial cells into a migratory mesenchymal phenotype.</w:t>
      </w:r>
    </w:p>
    <w:p w14:paraId="44048BFE"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Several transcription factors regulate EMT. They are Slug, Snail, Twist, and Zeb. Zeb1 has emerged as a master regulator of EMT. Recent studies indicate that Zeb1 is uniquely critical for maintaining the mesenchymal phenotype. Zeb1 depletion alone is often sufficient to reverse EMT (Addison et al., 2021). Besides conferring enhanced metastatic and invasive potential, Zeb1 promotes resistance to multiple drugs. The resistance is mediated by utilizing several mechanisms: tamoxifen resistance via estrogen receptor-alpha hypermethylation (Zhang et al., 2017), doxorubicin resistance via Akt/GSK3β/β-catenin (Wang et al., 2016), trastuzumab resistance via the Zeb1/mir-200 axis (Bai et al., 2014), and enhanced repair of DNA damage via ATM pathway (Zhang et al., 2018). Recent evidence suggests that Zeb1 not only helps breast cancer stem cells bypass apoptosis (</w:t>
      </w:r>
      <w:proofErr w:type="spellStart"/>
      <w:r>
        <w:rPr>
          <w:rFonts w:ascii="Times New Roman" w:eastAsia="Times New Roman" w:hAnsi="Times New Roman" w:cs="Times New Roman"/>
          <w:sz w:val="24"/>
          <w:szCs w:val="24"/>
        </w:rPr>
        <w:t>Shivhare</w:t>
      </w:r>
      <w:proofErr w:type="spellEnd"/>
      <w:r>
        <w:rPr>
          <w:rFonts w:ascii="Times New Roman" w:eastAsia="Times New Roman" w:hAnsi="Times New Roman" w:cs="Times New Roman"/>
          <w:sz w:val="24"/>
          <w:szCs w:val="24"/>
        </w:rPr>
        <w:t xml:space="preserve"> et al., 2023) but also triggers autophagy to repair the very genotoxic damage meant to kill them (Fedorova et al., 2022).</w:t>
      </w:r>
    </w:p>
    <w:p w14:paraId="7D7B6D01"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its obvious value as a therapeutic target, direct and clinically approved Zeb1 inhibitors do not yet exist. While researchers are mapping natural suppression mechanisms, such as the NOTCH3/miR-223 axis (Chen et al., 2024), current translational efforts mostly rely on indirect targeting. For instance, the kinase inhibitor UCN-01 has been shown to suppress Zeb1 activity (Sayan et al., 2019). Crucially, Song et al. (2018) demonstrated that suppressing Zeb1 sensitizes cancer cells to the ATR inhibitor VE-821, leading to lethal accumulation of DNA damage. </w:t>
      </w:r>
    </w:p>
    <w:p w14:paraId="0311C87C"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leverage this finding, we aim to identify specific Zeb1 inhibitors by screening a library of 2,330 FDA-approved drugs for use in a combinational strategy with VE-821. We hypothesize that identifying agents that disrupt Zeb1 activity will restore E-cadherin expression and synergize </w:t>
      </w:r>
      <w:r>
        <w:rPr>
          <w:rFonts w:ascii="Times New Roman" w:eastAsia="Times New Roman" w:hAnsi="Times New Roman" w:cs="Times New Roman"/>
          <w:sz w:val="24"/>
          <w:szCs w:val="24"/>
        </w:rPr>
        <w:lastRenderedPageBreak/>
        <w:t>with ATR inhibition to overcome chemoresistance. To quantify inhibition, we are using a Zeb-1 negative MCF-7 model engineered to express Tetracycline-inducible Zeb1 system and a luciferase reporter driven by the E-cadherin promoter. Because this strategy relies on repurposing existing drugs, it may provide a significantly shorter path for clinical translation should such drugs be identified.</w:t>
      </w:r>
    </w:p>
    <w:p w14:paraId="5C45001B"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Methods</w:t>
      </w:r>
    </w:p>
    <w:p w14:paraId="5E21FB74"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Cell culture</w:t>
      </w:r>
    </w:p>
    <w:p w14:paraId="58B87458"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Two breast cancer cell lines were used: MCF-7 (luminal type), carrying a Tetracycline-inducible Zeb1 expression system, and MDA-MB-231 (basal type), including Wild Type (WT) and Zeb1 Knockout (KO). Cells were cultured in DMEM supplemented with 10% fetal bovine serum (FBS) and penicillin-streptomycin. Cells were maintained at 37°C with 5% CO2. Cell passaging was performed using Trypsin-EDTA when confluence reached approximately 80-90%.</w:t>
      </w:r>
    </w:p>
    <w:p w14:paraId="375440B1"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Chemical reagents and treatments</w:t>
      </w:r>
    </w:p>
    <w:p w14:paraId="36428F48"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induce Epithelial-Mesenchymal Transition (EMT), doxycycline was dissolved in sterile water and added to the culture medium at a final concentration of 0.5 µM. Cells were treated for 96h to ensure complete phenotypic transition. Cell lysates were then collected to perform Western Blot.</w:t>
      </w:r>
    </w:p>
    <w:p w14:paraId="327F93D9"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drug screening assays, candidate small-molecule inhibitors were dissolved in DMEM (+FBS -penicillin-streptomycin). MCF-7 cells were seeded and allowed to adhere for 24 hours. Induction was initiated with </w:t>
      </w:r>
      <w:r>
        <w:rPr>
          <w:rFonts w:ascii="Times New Roman" w:eastAsia="Times New Roman" w:hAnsi="Times New Roman" w:cs="Times New Roman"/>
          <w:color w:val="0E101A"/>
          <w:sz w:val="24"/>
          <w:szCs w:val="24"/>
        </w:rPr>
        <w:t>0.5 µg/ml</w:t>
      </w:r>
      <w:r>
        <w:rPr>
          <w:rFonts w:ascii="Times New Roman" w:eastAsia="Times New Roman" w:hAnsi="Times New Roman" w:cs="Times New Roman"/>
          <w:sz w:val="24"/>
          <w:szCs w:val="24"/>
        </w:rPr>
        <w:t xml:space="preserve"> doxycycline for the '72h' experimental groups, while '0h' control groups received fresh standard media. Following 24 hours of induction, inhibitors (A8, A10, G5) or DMSO vehicle control were added to both induced and non-induced populations. Cells were </w:t>
      </w:r>
      <w:r>
        <w:rPr>
          <w:rFonts w:ascii="Times New Roman" w:eastAsia="Times New Roman" w:hAnsi="Times New Roman" w:cs="Times New Roman"/>
          <w:sz w:val="24"/>
          <w:szCs w:val="24"/>
        </w:rPr>
        <w:lastRenderedPageBreak/>
        <w:t>harvested 48 hours post-inhibitor treatment (corresponding to 72 hours post-induction) and fixed in 70% ethanol for cell cycle analysis via flow cytometry.</w:t>
      </w:r>
    </w:p>
    <w:p w14:paraId="6357CBBD"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Western Blot</w:t>
      </w:r>
    </w:p>
    <w:p w14:paraId="3A2FFEAE"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Cell lysates were collected using Laemmli buffer. Protein concentration was determined via Bradford assay. Samples were separated by SDS-PAGE and transferred to nitrocellulose membranes. Membranes were blocked in milk/PBST and incubated with primary antibodies: anti-Zeb1 (Rabbit) and anti-E-cadherin (Mouse). Following incubation with secondary antibodies, protein bands were visualized using ECL reagents on a </w:t>
      </w:r>
      <w:proofErr w:type="spellStart"/>
      <w:r>
        <w:rPr>
          <w:rFonts w:ascii="Times New Roman" w:eastAsia="Times New Roman" w:hAnsi="Times New Roman" w:cs="Times New Roman"/>
          <w:sz w:val="24"/>
          <w:szCs w:val="24"/>
        </w:rPr>
        <w:t>ChemiDoc</w:t>
      </w:r>
      <w:proofErr w:type="spellEnd"/>
      <w:r>
        <w:rPr>
          <w:rFonts w:ascii="Times New Roman" w:eastAsia="Times New Roman" w:hAnsi="Times New Roman" w:cs="Times New Roman"/>
          <w:sz w:val="24"/>
          <w:szCs w:val="24"/>
        </w:rPr>
        <w:t xml:space="preserve"> system.</w:t>
      </w:r>
    </w:p>
    <w:p w14:paraId="5E4A3E10" w14:textId="77777777" w:rsidR="007A00DD" w:rsidRDefault="00000000">
      <w:pPr>
        <w:spacing w:before="240" w:after="240" w:line="48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Densinometric</w:t>
      </w:r>
      <w:proofErr w:type="spellEnd"/>
      <w:r>
        <w:rPr>
          <w:rFonts w:ascii="Times New Roman" w:eastAsia="Times New Roman" w:hAnsi="Times New Roman" w:cs="Times New Roman"/>
          <w:b/>
          <w:bCs/>
          <w:sz w:val="24"/>
          <w:szCs w:val="24"/>
        </w:rPr>
        <w:t xml:space="preserve"> analysis</w:t>
      </w:r>
    </w:p>
    <w:p w14:paraId="613BD862"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ImageJ software was used to quantify protein expression levels from Western blot images. </w:t>
      </w:r>
    </w:p>
    <w:p w14:paraId="4FE90902"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Analysis steps:</w:t>
      </w:r>
    </w:p>
    <w:p w14:paraId="3A0B70A9" w14:textId="77777777" w:rsidR="007A00DD" w:rsidRDefault="00000000">
      <w:pPr>
        <w:numPr>
          <w:ilvl w:val="0"/>
          <w:numId w:val="3"/>
        </w:num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Image Processing:</w:t>
      </w:r>
      <w:r>
        <w:rPr>
          <w:rFonts w:ascii="Times New Roman" w:eastAsia="Times New Roman" w:hAnsi="Times New Roman" w:cs="Times New Roman"/>
          <w:sz w:val="24"/>
          <w:szCs w:val="24"/>
        </w:rPr>
        <w:t xml:space="preserve"> Digital images were split channeled. The channel with highest resolution and least noise was chosen.</w:t>
      </w:r>
    </w:p>
    <w:p w14:paraId="63EDE28D" w14:textId="7357DB51" w:rsidR="007A00DD" w:rsidRDefault="00000000">
      <w:pPr>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ROI Selection:</w:t>
      </w:r>
      <w:r>
        <w:rPr>
          <w:rFonts w:ascii="Times New Roman" w:eastAsia="Times New Roman" w:hAnsi="Times New Roman" w:cs="Times New Roman"/>
          <w:sz w:val="24"/>
          <w:szCs w:val="24"/>
        </w:rPr>
        <w:t xml:space="preserve"> A rectangular region of interest (ROI) was used to define the area around each protein band (Zeb1, E-cadherin, and </w:t>
      </w:r>
      <w:r w:rsidR="00C20128">
        <w:rPr>
          <w:rFonts w:ascii="Times New Roman" w:eastAsia="Times New Roman" w:hAnsi="Times New Roman" w:cs="Times New Roman"/>
          <w:sz w:val="24"/>
          <w:szCs w:val="24"/>
        </w:rPr>
        <w:t>Beta</w:t>
      </w:r>
      <w:r>
        <w:rPr>
          <w:rFonts w:ascii="Times New Roman" w:eastAsia="Times New Roman" w:hAnsi="Times New Roman" w:cs="Times New Roman"/>
          <w:sz w:val="24"/>
          <w:szCs w:val="24"/>
        </w:rPr>
        <w:t>-tubulin).</w:t>
      </w:r>
    </w:p>
    <w:p w14:paraId="38192F4A" w14:textId="38078C95" w:rsidR="007A00DD" w:rsidRDefault="00000000">
      <w:pPr>
        <w:numPr>
          <w:ilvl w:val="0"/>
          <w:numId w:val="3"/>
        </w:numPr>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Normalization:</w:t>
      </w:r>
      <w:r>
        <w:rPr>
          <w:rFonts w:ascii="Times New Roman" w:eastAsia="Times New Roman" w:hAnsi="Times New Roman" w:cs="Times New Roman"/>
          <w:sz w:val="24"/>
          <w:szCs w:val="24"/>
        </w:rPr>
        <w:t xml:space="preserve"> Target protein values were normalized against the </w:t>
      </w:r>
      <w:r w:rsidR="00175FBD">
        <w:rPr>
          <w:rFonts w:ascii="Times New Roman" w:eastAsia="Times New Roman" w:hAnsi="Times New Roman" w:cs="Times New Roman"/>
          <w:sz w:val="24"/>
          <w:szCs w:val="24"/>
        </w:rPr>
        <w:t>Beta</w:t>
      </w:r>
      <w:r>
        <w:rPr>
          <w:rFonts w:ascii="Times New Roman" w:eastAsia="Times New Roman" w:hAnsi="Times New Roman" w:cs="Times New Roman"/>
          <w:sz w:val="24"/>
          <w:szCs w:val="24"/>
        </w:rPr>
        <w:t xml:space="preserve">-tubulin loading control using the following formula:  </w:t>
      </w:r>
    </w:p>
    <w:p w14:paraId="3937EB39" w14:textId="35F2291A" w:rsidR="007A00DD" w:rsidRDefault="003054E6">
      <w:pPr>
        <w:spacing w:before="240" w:after="24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475F5F4" wp14:editId="0C5D2F72">
            <wp:extent cx="4920733" cy="533400"/>
            <wp:effectExtent l="0" t="0" r="0" b="0"/>
            <wp:docPr id="2033578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1477" cy="536733"/>
                    </a:xfrm>
                    <a:prstGeom prst="rect">
                      <a:avLst/>
                    </a:prstGeom>
                    <a:noFill/>
                  </pic:spPr>
                </pic:pic>
              </a:graphicData>
            </a:graphic>
          </wp:inline>
        </w:drawing>
      </w:r>
    </w:p>
    <w:p w14:paraId="3147AC2B"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Flow Cytometry (cell cycle analysis using Attune </w:t>
      </w:r>
      <w:proofErr w:type="spellStart"/>
      <w:r>
        <w:rPr>
          <w:rFonts w:ascii="Times New Roman" w:eastAsia="Times New Roman" w:hAnsi="Times New Roman" w:cs="Times New Roman"/>
          <w:b/>
          <w:bCs/>
          <w:sz w:val="24"/>
          <w:szCs w:val="24"/>
        </w:rPr>
        <w:t>NxT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Thermo</w:t>
      </w:r>
      <w:proofErr w:type="spellEnd"/>
      <w:r>
        <w:rPr>
          <w:rFonts w:ascii="Times New Roman" w:eastAsia="Times New Roman" w:hAnsi="Times New Roman" w:cs="Times New Roman"/>
          <w:b/>
          <w:bCs/>
          <w:sz w:val="24"/>
          <w:szCs w:val="24"/>
        </w:rPr>
        <w:t xml:space="preserve"> Fisher Flow Cytometer)</w:t>
      </w:r>
    </w:p>
    <w:p w14:paraId="25A4CBE2"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Cells treated with inhibitors were harvested using Trypsin, washed with PBS, and fixed in 70% ethanol. Fixed cells were washed to remove ethanol and stained with a solution of Propidium Iodide (PI) and RNase A. Samples were analyzed on a Flow Cytometer to assess cell cycle distribution (G1, S, G2/M) and the presence of apoptotic cells (sub-G1 population). Gates were applied to exclude debris and doublets.</w:t>
      </w:r>
    </w:p>
    <w:p w14:paraId="3E2E63E9"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Bacterial transformation, plasmid preparation</w:t>
      </w:r>
    </w:p>
    <w:p w14:paraId="14BBAE13"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Plasmids (Zeb1-KO rescue vector, pcDNA5 empty vector, and GFP control) were amplified to generate stable MDA-MB-231 cell lines. DH5α competent bacteria were transformed via heat shock. Bacteria were grown on LB agar plates with Ampicillin selection. Colonies were picked, expanded in liquid LB, and plasmids were isolated using </w:t>
      </w:r>
      <w:proofErr w:type="spellStart"/>
      <w:r>
        <w:rPr>
          <w:rFonts w:ascii="Times New Roman" w:eastAsia="Times New Roman" w:hAnsi="Times New Roman" w:cs="Times New Roman"/>
          <w:sz w:val="24"/>
          <w:szCs w:val="24"/>
        </w:rPr>
        <w:t>Midiprep</w:t>
      </w:r>
      <w:proofErr w:type="spellEnd"/>
      <w:r>
        <w:rPr>
          <w:rFonts w:ascii="Times New Roman" w:eastAsia="Times New Roman" w:hAnsi="Times New Roman" w:cs="Times New Roman"/>
          <w:sz w:val="24"/>
          <w:szCs w:val="24"/>
        </w:rPr>
        <w:t xml:space="preserve"> kits. DNA concentration and purity were verified using a </w:t>
      </w:r>
      <w:proofErr w:type="spellStart"/>
      <w:r>
        <w:rPr>
          <w:rFonts w:ascii="Times New Roman" w:eastAsia="Times New Roman" w:hAnsi="Times New Roman" w:cs="Times New Roman"/>
          <w:sz w:val="24"/>
          <w:szCs w:val="24"/>
        </w:rPr>
        <w:t>NanoDrop</w:t>
      </w:r>
      <w:proofErr w:type="spellEnd"/>
      <w:r>
        <w:rPr>
          <w:rFonts w:ascii="Times New Roman" w:eastAsia="Times New Roman" w:hAnsi="Times New Roman" w:cs="Times New Roman"/>
          <w:sz w:val="24"/>
          <w:szCs w:val="24"/>
        </w:rPr>
        <w:t xml:space="preserve"> spectrophotometer.</w:t>
      </w:r>
    </w:p>
    <w:p w14:paraId="7F11CCDD"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Transfection and antibiotic selection</w:t>
      </w:r>
    </w:p>
    <w:p w14:paraId="68ED42CD"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MDA-MB-231 (KO and WT) cells were seeded in 6-well plates. Transfection was performed using Lipofectamine reagent according to the manufacturer's protocol.</w:t>
      </w:r>
    </w:p>
    <w:p w14:paraId="7128B0E0"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Conditions: Zeb1 KO + Zeb1 plasmid; Zeb1 KO + GFP plasmid; WT + pcDNA5; WT + GFP. Selection: 48 hours post-transfection, cells were treated with selective antibiotics: Hygromycin (for Zeb1 plasmid) and G418 (for pcDNA5). Selection was maintained for up to 7 days.</w:t>
      </w:r>
    </w:p>
    <w:p w14:paraId="41166BA0"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w:t>
      </w:r>
    </w:p>
    <w:p w14:paraId="142BA27C"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Validation of the Zeb1 inducible system</w:t>
      </w:r>
    </w:p>
    <w:p w14:paraId="69051BDA"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We used Western blotting to confirm the functionality of the MCF-7 Tetracycline-inducible system. The cells showed no baseline Zeb1 expression in the absence of doxycycline at 0 hours. However, after induction, Zeb1 protein levels increased (Figure 1). E-cadherin expression was significantly downregulated, whereas Zeb1 accumulation was increased (Figure 1). Our model demonstrates that upregulating Zeb1 is sufficient to trigger the core molecular shifts of the epithelial-mesenchymal transition (EMT). </w:t>
      </w:r>
    </w:p>
    <w:p w14:paraId="040A6BDE"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6382ED8" wp14:editId="3469CDA4">
            <wp:extent cx="2645482" cy="5900738"/>
            <wp:effectExtent l="0" t="0" r="0" b="0"/>
            <wp:docPr id="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6"/>
                    <a:srcRect/>
                    <a:stretch>
                      <a:fillRect/>
                    </a:stretch>
                  </pic:blipFill>
                  <pic:spPr>
                    <a:xfrm>
                      <a:off x="0" y="0"/>
                      <a:ext cx="2645482" cy="5900738"/>
                    </a:xfrm>
                    <a:prstGeom prst="rect">
                      <a:avLst/>
                    </a:prstGeom>
                    <a:ln/>
                  </pic:spPr>
                </pic:pic>
              </a:graphicData>
            </a:graphic>
          </wp:inline>
        </w:drawing>
      </w:r>
    </w:p>
    <w:p w14:paraId="1ED8C5D1" w14:textId="44D88B95"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Figure 1. Visualization of Zeb1 and E-cadherin expression in MCF-7 cells by Western blotting. Concentrations of E-cadherin, </w:t>
      </w:r>
      <w:r w:rsidR="00C20128">
        <w:rPr>
          <w:rFonts w:ascii="Times New Roman" w:eastAsia="Times New Roman" w:hAnsi="Times New Roman" w:cs="Times New Roman"/>
          <w:sz w:val="24"/>
          <w:szCs w:val="24"/>
        </w:rPr>
        <w:t>Beta-</w:t>
      </w:r>
      <w:r>
        <w:rPr>
          <w:rFonts w:ascii="Times New Roman" w:eastAsia="Times New Roman" w:hAnsi="Times New Roman" w:cs="Times New Roman"/>
          <w:sz w:val="24"/>
          <w:szCs w:val="24"/>
        </w:rPr>
        <w:t xml:space="preserve">tubulin, Zeb1, with their respective molecular weight, are described. Protein expression was determined by relative fluorescence of the respective bands with specific antibodies using the </w:t>
      </w:r>
      <w:proofErr w:type="spellStart"/>
      <w:r>
        <w:rPr>
          <w:rFonts w:ascii="Times New Roman" w:eastAsia="Times New Roman" w:hAnsi="Times New Roman" w:cs="Times New Roman"/>
          <w:sz w:val="24"/>
          <w:szCs w:val="24"/>
        </w:rPr>
        <w:t>ChemiDoc</w:t>
      </w:r>
      <w:proofErr w:type="spellEnd"/>
      <w:r>
        <w:rPr>
          <w:rFonts w:ascii="Times New Roman" w:eastAsia="Times New Roman" w:hAnsi="Times New Roman" w:cs="Times New Roman"/>
          <w:sz w:val="24"/>
          <w:szCs w:val="24"/>
        </w:rPr>
        <w:t xml:space="preserve"> 2.0 software.</w:t>
      </w:r>
    </w:p>
    <w:p w14:paraId="7D29B62B" w14:textId="77777777" w:rsidR="007A00DD" w:rsidRDefault="00000000">
      <w:pPr>
        <w:spacing w:before="240" w:after="24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Densitometric analysis using ImageJ software</w:t>
      </w:r>
    </w:p>
    <w:p w14:paraId="443E8841" w14:textId="415819E1"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1 shows densities of the bands: E-cadherin, </w:t>
      </w:r>
      <w:r w:rsidR="00C20128">
        <w:rPr>
          <w:rFonts w:ascii="Times New Roman" w:eastAsia="Times New Roman" w:hAnsi="Times New Roman" w:cs="Times New Roman"/>
          <w:sz w:val="24"/>
          <w:szCs w:val="24"/>
        </w:rPr>
        <w:t>beta-</w:t>
      </w:r>
      <w:r>
        <w:rPr>
          <w:rFonts w:ascii="Times New Roman" w:eastAsia="Times New Roman" w:hAnsi="Times New Roman" w:cs="Times New Roman"/>
          <w:sz w:val="24"/>
          <w:szCs w:val="24"/>
        </w:rPr>
        <w:t xml:space="preserve">tubulin, and Zeb1. The densities of E-cadherin and Zeb1 were normalized to </w:t>
      </w:r>
      <w:r w:rsidR="00C20128">
        <w:rPr>
          <w:rFonts w:ascii="Times New Roman" w:eastAsia="Times New Roman" w:hAnsi="Times New Roman" w:cs="Times New Roman"/>
          <w:sz w:val="24"/>
          <w:szCs w:val="24"/>
        </w:rPr>
        <w:t>beta-</w:t>
      </w:r>
      <w:r>
        <w:rPr>
          <w:rFonts w:ascii="Times New Roman" w:eastAsia="Times New Roman" w:hAnsi="Times New Roman" w:cs="Times New Roman"/>
          <w:sz w:val="24"/>
          <w:szCs w:val="24"/>
        </w:rPr>
        <w:t xml:space="preserve">tubulin density. At 0-hour baseline, Zeb1 was entirely undetectable. This confirms a stable epithelial state and that our cell line lacks endogenous Zeb1. After induction, Zeb1 expression rose sharply by the 48-hour mark (Normalized: 1.34) and reached its maximal expression at 72 hours (Normalized: 1.58). At the same time, E-cadherin expression decreased to 0.69 and reached its minimal value of 0.45 at 72 hours. At 96 hours, Zeb1 levels remained high (Normalized: 1.20), though they showed a slight decrease compared to the 72-hour peak. This decrease in Zeb1 is mirrored by an increase in E-cadherin (from 0.45 to 1). Also, the highest Zeb1 density corresponds to the lowest E-cadherin density. The data suggest quantitative evidence of an inverse relation between Zeb1 and E-cadherin. </w:t>
      </w:r>
    </w:p>
    <w:tbl>
      <w:tblPr>
        <w:tblStyle w:val="a"/>
        <w:tblW w:w="750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500"/>
        <w:gridCol w:w="1500"/>
        <w:gridCol w:w="1500"/>
        <w:gridCol w:w="1500"/>
        <w:gridCol w:w="1500"/>
      </w:tblGrid>
      <w:tr w:rsidR="007A00DD" w14:paraId="09063A11"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FE108A" w14:textId="77777777" w:rsidR="007A00DD" w:rsidRDefault="007A00DD">
            <w:pPr>
              <w:widowControl w:val="0"/>
              <w:rPr>
                <w:sz w:val="20"/>
                <w:szCs w:val="20"/>
              </w:rPr>
            </w:pP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CD3954" w14:textId="77777777" w:rsidR="007A00DD" w:rsidRDefault="00000000">
            <w:pPr>
              <w:widowControl w:val="0"/>
              <w:rPr>
                <w:sz w:val="20"/>
                <w:szCs w:val="20"/>
              </w:rPr>
            </w:pPr>
            <w:r>
              <w:rPr>
                <w:sz w:val="20"/>
                <w:szCs w:val="20"/>
              </w:rPr>
              <w:t>0h</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1D1207" w14:textId="77777777" w:rsidR="007A00DD" w:rsidRDefault="00000000">
            <w:pPr>
              <w:widowControl w:val="0"/>
              <w:rPr>
                <w:sz w:val="20"/>
                <w:szCs w:val="20"/>
              </w:rPr>
            </w:pPr>
            <w:r>
              <w:rPr>
                <w:sz w:val="20"/>
                <w:szCs w:val="20"/>
              </w:rPr>
              <w:t>48h</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494719" w14:textId="77777777" w:rsidR="007A00DD" w:rsidRDefault="00000000">
            <w:pPr>
              <w:widowControl w:val="0"/>
              <w:rPr>
                <w:sz w:val="20"/>
                <w:szCs w:val="20"/>
              </w:rPr>
            </w:pPr>
            <w:r>
              <w:rPr>
                <w:sz w:val="20"/>
                <w:szCs w:val="20"/>
              </w:rPr>
              <w:t>72h</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395888" w14:textId="77777777" w:rsidR="007A00DD" w:rsidRDefault="00000000">
            <w:pPr>
              <w:widowControl w:val="0"/>
              <w:rPr>
                <w:sz w:val="20"/>
                <w:szCs w:val="20"/>
              </w:rPr>
            </w:pPr>
            <w:r>
              <w:rPr>
                <w:sz w:val="20"/>
                <w:szCs w:val="20"/>
              </w:rPr>
              <w:t>96h</w:t>
            </w:r>
          </w:p>
        </w:tc>
      </w:tr>
      <w:tr w:rsidR="007A00DD" w14:paraId="2B2C8775"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4EEE5DCA" w14:textId="77777777" w:rsidR="007A00DD" w:rsidRDefault="00000000">
            <w:pPr>
              <w:widowControl w:val="0"/>
              <w:rPr>
                <w:sz w:val="20"/>
                <w:szCs w:val="20"/>
              </w:rPr>
            </w:pPr>
            <w:r>
              <w:rPr>
                <w:sz w:val="20"/>
                <w:szCs w:val="20"/>
              </w:rPr>
              <w:t>E-cadherin</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2990F064" w14:textId="77777777" w:rsidR="007A00DD" w:rsidRDefault="00000000">
            <w:pPr>
              <w:widowControl w:val="0"/>
              <w:jc w:val="right"/>
              <w:rPr>
                <w:sz w:val="20"/>
                <w:szCs w:val="20"/>
              </w:rPr>
            </w:pPr>
            <w:r>
              <w:rPr>
                <w:sz w:val="20"/>
                <w:szCs w:val="20"/>
              </w:rPr>
              <w:t>36344.309</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3862F648" w14:textId="77777777" w:rsidR="007A00DD" w:rsidRDefault="00000000">
            <w:pPr>
              <w:widowControl w:val="0"/>
              <w:jc w:val="right"/>
              <w:rPr>
                <w:sz w:val="20"/>
                <w:szCs w:val="20"/>
              </w:rPr>
            </w:pPr>
            <w:r>
              <w:rPr>
                <w:sz w:val="20"/>
                <w:szCs w:val="20"/>
              </w:rPr>
              <w:t>14494.945</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478F0CB6" w14:textId="77777777" w:rsidR="007A00DD" w:rsidRDefault="00000000">
            <w:pPr>
              <w:widowControl w:val="0"/>
              <w:jc w:val="right"/>
              <w:rPr>
                <w:sz w:val="20"/>
                <w:szCs w:val="20"/>
              </w:rPr>
            </w:pPr>
            <w:r>
              <w:rPr>
                <w:sz w:val="20"/>
                <w:szCs w:val="20"/>
              </w:rPr>
              <w:t>7670.338</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55E772D0" w14:textId="77777777" w:rsidR="007A00DD" w:rsidRDefault="00000000">
            <w:pPr>
              <w:widowControl w:val="0"/>
              <w:jc w:val="right"/>
              <w:rPr>
                <w:sz w:val="20"/>
                <w:szCs w:val="20"/>
              </w:rPr>
            </w:pPr>
            <w:r>
              <w:rPr>
                <w:sz w:val="20"/>
                <w:szCs w:val="20"/>
              </w:rPr>
              <w:t>20044.279</w:t>
            </w:r>
          </w:p>
        </w:tc>
      </w:tr>
      <w:tr w:rsidR="007A00DD" w14:paraId="357BF4C7"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66554A93" w14:textId="77777777" w:rsidR="007A00DD" w:rsidRDefault="00000000">
            <w:pPr>
              <w:widowControl w:val="0"/>
              <w:rPr>
                <w:sz w:val="20"/>
                <w:szCs w:val="20"/>
              </w:rPr>
            </w:pPr>
            <w:r>
              <w:rPr>
                <w:sz w:val="20"/>
                <w:szCs w:val="20"/>
              </w:rPr>
              <w:t>%</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711AD6A5" w14:textId="77777777" w:rsidR="007A00DD" w:rsidRDefault="00000000">
            <w:pPr>
              <w:widowControl w:val="0"/>
              <w:jc w:val="right"/>
              <w:rPr>
                <w:sz w:val="20"/>
                <w:szCs w:val="20"/>
              </w:rPr>
            </w:pPr>
            <w:r>
              <w:rPr>
                <w:sz w:val="20"/>
                <w:szCs w:val="20"/>
              </w:rPr>
              <w:t>46.267</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2DA971B4" w14:textId="77777777" w:rsidR="007A00DD" w:rsidRDefault="00000000">
            <w:pPr>
              <w:widowControl w:val="0"/>
              <w:jc w:val="right"/>
              <w:rPr>
                <w:sz w:val="20"/>
                <w:szCs w:val="20"/>
              </w:rPr>
            </w:pPr>
            <w:r>
              <w:rPr>
                <w:sz w:val="20"/>
                <w:szCs w:val="20"/>
              </w:rPr>
              <w:t>18.452</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587BC04F" w14:textId="77777777" w:rsidR="007A00DD" w:rsidRDefault="00000000">
            <w:pPr>
              <w:widowControl w:val="0"/>
              <w:jc w:val="right"/>
              <w:rPr>
                <w:sz w:val="20"/>
                <w:szCs w:val="20"/>
              </w:rPr>
            </w:pPr>
            <w:r>
              <w:rPr>
                <w:sz w:val="20"/>
                <w:szCs w:val="20"/>
              </w:rPr>
              <w:t>9.764</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1E8D8033" w14:textId="77777777" w:rsidR="007A00DD" w:rsidRDefault="00000000">
            <w:pPr>
              <w:widowControl w:val="0"/>
              <w:jc w:val="right"/>
              <w:rPr>
                <w:sz w:val="20"/>
                <w:szCs w:val="20"/>
              </w:rPr>
            </w:pPr>
            <w:r>
              <w:rPr>
                <w:sz w:val="20"/>
                <w:szCs w:val="20"/>
              </w:rPr>
              <w:t>25.517</w:t>
            </w:r>
          </w:p>
        </w:tc>
      </w:tr>
      <w:tr w:rsidR="007A00DD" w14:paraId="2B5D7BDC"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6F6A3E5F" w14:textId="77777777" w:rsidR="007A00DD" w:rsidRDefault="00000000">
            <w:pPr>
              <w:widowControl w:val="0"/>
              <w:rPr>
                <w:sz w:val="20"/>
                <w:szCs w:val="20"/>
              </w:rPr>
            </w:pPr>
            <w:r>
              <w:rPr>
                <w:sz w:val="20"/>
                <w:szCs w:val="20"/>
              </w:rPr>
              <w:t>Normalized</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59E7B8AC" w14:textId="77777777" w:rsidR="007A00DD" w:rsidRDefault="00000000">
            <w:pPr>
              <w:widowControl w:val="0"/>
              <w:jc w:val="right"/>
              <w:rPr>
                <w:sz w:val="20"/>
                <w:szCs w:val="20"/>
              </w:rPr>
            </w:pPr>
            <w:r>
              <w:rPr>
                <w:sz w:val="20"/>
                <w:szCs w:val="20"/>
              </w:rPr>
              <w:t>1.738641915</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29A4898F" w14:textId="77777777" w:rsidR="007A00DD" w:rsidRDefault="00000000">
            <w:pPr>
              <w:widowControl w:val="0"/>
              <w:jc w:val="right"/>
              <w:rPr>
                <w:sz w:val="20"/>
                <w:szCs w:val="20"/>
              </w:rPr>
            </w:pPr>
            <w:r>
              <w:rPr>
                <w:sz w:val="20"/>
                <w:szCs w:val="20"/>
              </w:rPr>
              <w:t>0.6930068354</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283DFC15" w14:textId="77777777" w:rsidR="007A00DD" w:rsidRDefault="00000000">
            <w:pPr>
              <w:widowControl w:val="0"/>
              <w:jc w:val="right"/>
              <w:rPr>
                <w:sz w:val="20"/>
                <w:szCs w:val="20"/>
              </w:rPr>
            </w:pPr>
            <w:r>
              <w:rPr>
                <w:sz w:val="20"/>
                <w:szCs w:val="20"/>
              </w:rPr>
              <w:t>0.4586406125</w:t>
            </w:r>
          </w:p>
        </w:tc>
        <w:tc>
          <w:tcPr>
            <w:tcW w:w="1500" w:type="dxa"/>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6CFC6FE4" w14:textId="77777777" w:rsidR="007A00DD" w:rsidRDefault="00000000">
            <w:pPr>
              <w:widowControl w:val="0"/>
              <w:jc w:val="right"/>
              <w:rPr>
                <w:sz w:val="20"/>
                <w:szCs w:val="20"/>
              </w:rPr>
            </w:pPr>
            <w:r>
              <w:rPr>
                <w:sz w:val="20"/>
                <w:szCs w:val="20"/>
              </w:rPr>
              <w:t>1.001687996</w:t>
            </w:r>
          </w:p>
        </w:tc>
      </w:tr>
      <w:tr w:rsidR="007A00DD" w14:paraId="57F5986F"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3C656E7B" w14:textId="5646819D" w:rsidR="007A00DD" w:rsidRDefault="00175FBD">
            <w:pPr>
              <w:widowControl w:val="0"/>
              <w:rPr>
                <w:sz w:val="20"/>
                <w:szCs w:val="20"/>
              </w:rPr>
            </w:pPr>
            <w:r>
              <w:rPr>
                <w:sz w:val="20"/>
                <w:szCs w:val="20"/>
              </w:rPr>
              <w:t>Beta-tubulin</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1A4C2A12" w14:textId="77777777" w:rsidR="007A00DD" w:rsidRDefault="00000000">
            <w:pPr>
              <w:widowControl w:val="0"/>
              <w:jc w:val="right"/>
              <w:rPr>
                <w:sz w:val="20"/>
                <w:szCs w:val="20"/>
              </w:rPr>
            </w:pPr>
            <w:r>
              <w:rPr>
                <w:sz w:val="20"/>
                <w:szCs w:val="20"/>
              </w:rPr>
              <w:t>36656.48</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76F6AFA8" w14:textId="77777777" w:rsidR="007A00DD" w:rsidRDefault="00000000">
            <w:pPr>
              <w:widowControl w:val="0"/>
              <w:jc w:val="right"/>
              <w:rPr>
                <w:sz w:val="20"/>
                <w:szCs w:val="20"/>
              </w:rPr>
            </w:pPr>
            <w:r>
              <w:rPr>
                <w:sz w:val="20"/>
                <w:szCs w:val="20"/>
              </w:rPr>
              <w:t>36678.016</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70BDA5EE" w14:textId="77777777" w:rsidR="007A00DD" w:rsidRDefault="00000000">
            <w:pPr>
              <w:widowControl w:val="0"/>
              <w:jc w:val="right"/>
              <w:rPr>
                <w:sz w:val="20"/>
                <w:szCs w:val="20"/>
              </w:rPr>
            </w:pPr>
            <w:r>
              <w:rPr>
                <w:sz w:val="20"/>
                <w:szCs w:val="20"/>
              </w:rPr>
              <w:t>29326.309</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36939CDD" w14:textId="77777777" w:rsidR="007A00DD" w:rsidRDefault="00000000">
            <w:pPr>
              <w:widowControl w:val="0"/>
              <w:jc w:val="right"/>
              <w:rPr>
                <w:sz w:val="20"/>
                <w:szCs w:val="20"/>
              </w:rPr>
            </w:pPr>
            <w:r>
              <w:rPr>
                <w:sz w:val="20"/>
                <w:szCs w:val="20"/>
              </w:rPr>
              <w:t>35091.087</w:t>
            </w:r>
          </w:p>
        </w:tc>
      </w:tr>
      <w:tr w:rsidR="007A00DD" w14:paraId="1C24F747"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03E5C57A" w14:textId="77777777" w:rsidR="007A00DD" w:rsidRDefault="00000000">
            <w:pPr>
              <w:widowControl w:val="0"/>
              <w:rPr>
                <w:sz w:val="20"/>
                <w:szCs w:val="20"/>
              </w:rPr>
            </w:pPr>
            <w:r>
              <w:rPr>
                <w:sz w:val="20"/>
                <w:szCs w:val="20"/>
              </w:rPr>
              <w:t>%</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20D5830F" w14:textId="77777777" w:rsidR="007A00DD" w:rsidRDefault="00000000">
            <w:pPr>
              <w:widowControl w:val="0"/>
              <w:jc w:val="right"/>
              <w:rPr>
                <w:sz w:val="20"/>
                <w:szCs w:val="20"/>
              </w:rPr>
            </w:pPr>
            <w:r>
              <w:rPr>
                <w:sz w:val="20"/>
                <w:szCs w:val="20"/>
              </w:rPr>
              <w:t>26.611</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3A119098" w14:textId="77777777" w:rsidR="007A00DD" w:rsidRDefault="00000000">
            <w:pPr>
              <w:widowControl w:val="0"/>
              <w:jc w:val="right"/>
              <w:rPr>
                <w:sz w:val="20"/>
                <w:szCs w:val="20"/>
              </w:rPr>
            </w:pPr>
            <w:r>
              <w:rPr>
                <w:sz w:val="20"/>
                <w:szCs w:val="20"/>
              </w:rPr>
              <w:t>26.626</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4EE4EF42" w14:textId="77777777" w:rsidR="007A00DD" w:rsidRDefault="00000000">
            <w:pPr>
              <w:widowControl w:val="0"/>
              <w:jc w:val="right"/>
              <w:rPr>
                <w:sz w:val="20"/>
                <w:szCs w:val="20"/>
              </w:rPr>
            </w:pPr>
            <w:r>
              <w:rPr>
                <w:sz w:val="20"/>
                <w:szCs w:val="20"/>
              </w:rPr>
              <w:t>21.289</w:t>
            </w:r>
          </w:p>
        </w:tc>
        <w:tc>
          <w:tcPr>
            <w:tcW w:w="1500" w:type="dxa"/>
            <w:tcBorders>
              <w:top w:val="single" w:sz="6" w:space="0" w:color="CCCCCC"/>
              <w:left w:val="single" w:sz="6" w:space="0" w:color="CCCCCC"/>
              <w:bottom w:val="single" w:sz="6" w:space="0" w:color="CCCCCC"/>
              <w:right w:val="single" w:sz="6" w:space="0" w:color="CCCCCC"/>
            </w:tcBorders>
            <w:shd w:val="clear" w:color="auto" w:fill="C9DAF8"/>
            <w:tcMar>
              <w:top w:w="40" w:type="dxa"/>
              <w:left w:w="40" w:type="dxa"/>
              <w:bottom w:w="40" w:type="dxa"/>
              <w:right w:w="40" w:type="dxa"/>
            </w:tcMar>
            <w:vAlign w:val="bottom"/>
          </w:tcPr>
          <w:p w14:paraId="3FBBA13A" w14:textId="77777777" w:rsidR="007A00DD" w:rsidRDefault="00000000">
            <w:pPr>
              <w:widowControl w:val="0"/>
              <w:jc w:val="right"/>
              <w:rPr>
                <w:sz w:val="20"/>
                <w:szCs w:val="20"/>
              </w:rPr>
            </w:pPr>
            <w:r>
              <w:rPr>
                <w:sz w:val="20"/>
                <w:szCs w:val="20"/>
              </w:rPr>
              <w:t>25.474</w:t>
            </w:r>
          </w:p>
        </w:tc>
      </w:tr>
      <w:tr w:rsidR="007A00DD" w14:paraId="0DEC7BB7"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512F2407" w14:textId="77777777" w:rsidR="007A00DD" w:rsidRDefault="00000000">
            <w:pPr>
              <w:widowControl w:val="0"/>
              <w:rPr>
                <w:sz w:val="20"/>
                <w:szCs w:val="20"/>
              </w:rPr>
            </w:pPr>
            <w:r>
              <w:rPr>
                <w:sz w:val="20"/>
                <w:szCs w:val="20"/>
              </w:rPr>
              <w:t>Zeb1</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1885F417" w14:textId="77777777" w:rsidR="007A00DD" w:rsidRDefault="00000000">
            <w:pPr>
              <w:widowControl w:val="0"/>
              <w:jc w:val="right"/>
              <w:rPr>
                <w:sz w:val="20"/>
                <w:szCs w:val="20"/>
              </w:rPr>
            </w:pPr>
            <w:r>
              <w:rPr>
                <w:sz w:val="20"/>
                <w:szCs w:val="20"/>
              </w:rPr>
              <w:t>0</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65F1DE23" w14:textId="77777777" w:rsidR="007A00DD" w:rsidRDefault="00000000">
            <w:pPr>
              <w:widowControl w:val="0"/>
              <w:jc w:val="right"/>
              <w:rPr>
                <w:sz w:val="20"/>
                <w:szCs w:val="20"/>
              </w:rPr>
            </w:pPr>
            <w:r>
              <w:rPr>
                <w:sz w:val="20"/>
                <w:szCs w:val="20"/>
              </w:rPr>
              <w:t>42933.957</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0AE3BF02" w14:textId="77777777" w:rsidR="007A00DD" w:rsidRDefault="00000000">
            <w:pPr>
              <w:widowControl w:val="0"/>
              <w:jc w:val="right"/>
              <w:rPr>
                <w:sz w:val="20"/>
                <w:szCs w:val="20"/>
              </w:rPr>
            </w:pPr>
            <w:r>
              <w:rPr>
                <w:sz w:val="20"/>
                <w:szCs w:val="20"/>
              </w:rPr>
              <w:t>40601.421</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5E235E7B" w14:textId="77777777" w:rsidR="007A00DD" w:rsidRDefault="00000000">
            <w:pPr>
              <w:widowControl w:val="0"/>
              <w:jc w:val="right"/>
              <w:rPr>
                <w:sz w:val="20"/>
                <w:szCs w:val="20"/>
              </w:rPr>
            </w:pPr>
            <w:r>
              <w:rPr>
                <w:sz w:val="20"/>
                <w:szCs w:val="20"/>
              </w:rPr>
              <w:t>36817.472</w:t>
            </w:r>
          </w:p>
        </w:tc>
      </w:tr>
      <w:tr w:rsidR="007A00DD" w14:paraId="739BAE62"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4452C597" w14:textId="77777777" w:rsidR="007A00DD" w:rsidRDefault="00000000">
            <w:pPr>
              <w:widowControl w:val="0"/>
              <w:rPr>
                <w:sz w:val="20"/>
                <w:szCs w:val="20"/>
              </w:rPr>
            </w:pPr>
            <w:r>
              <w:rPr>
                <w:sz w:val="20"/>
                <w:szCs w:val="20"/>
              </w:rPr>
              <w:t>%</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36730ED8" w14:textId="77777777" w:rsidR="007A00DD" w:rsidRDefault="00000000">
            <w:pPr>
              <w:widowControl w:val="0"/>
              <w:jc w:val="right"/>
              <w:rPr>
                <w:sz w:val="20"/>
                <w:szCs w:val="20"/>
              </w:rPr>
            </w:pPr>
            <w:r>
              <w:rPr>
                <w:sz w:val="20"/>
                <w:szCs w:val="20"/>
              </w:rPr>
              <w:t>0</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770D37E7" w14:textId="77777777" w:rsidR="007A00DD" w:rsidRDefault="00000000">
            <w:pPr>
              <w:widowControl w:val="0"/>
              <w:jc w:val="right"/>
              <w:rPr>
                <w:sz w:val="20"/>
                <w:szCs w:val="20"/>
              </w:rPr>
            </w:pPr>
            <w:r>
              <w:rPr>
                <w:sz w:val="20"/>
                <w:szCs w:val="20"/>
              </w:rPr>
              <w:t>35.673</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5126850A" w14:textId="77777777" w:rsidR="007A00DD" w:rsidRDefault="00000000">
            <w:pPr>
              <w:widowControl w:val="0"/>
              <w:jc w:val="right"/>
              <w:rPr>
                <w:sz w:val="20"/>
                <w:szCs w:val="20"/>
              </w:rPr>
            </w:pPr>
            <w:r>
              <w:rPr>
                <w:sz w:val="20"/>
                <w:szCs w:val="20"/>
              </w:rPr>
              <w:t>33.735</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4DCAAEAB" w14:textId="77777777" w:rsidR="007A00DD" w:rsidRDefault="00000000">
            <w:pPr>
              <w:widowControl w:val="0"/>
              <w:jc w:val="right"/>
              <w:rPr>
                <w:sz w:val="20"/>
                <w:szCs w:val="20"/>
              </w:rPr>
            </w:pPr>
            <w:r>
              <w:rPr>
                <w:sz w:val="20"/>
                <w:szCs w:val="20"/>
              </w:rPr>
              <w:t>30.591</w:t>
            </w:r>
          </w:p>
        </w:tc>
      </w:tr>
      <w:tr w:rsidR="007A00DD" w14:paraId="55BA2B65" w14:textId="77777777">
        <w:trPr>
          <w:trHeight w:val="315"/>
          <w:tblHeader/>
          <w:jc w:val="center"/>
        </w:trPr>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367DE4C1" w14:textId="77777777" w:rsidR="007A00DD" w:rsidRDefault="00000000">
            <w:pPr>
              <w:widowControl w:val="0"/>
              <w:rPr>
                <w:sz w:val="20"/>
                <w:szCs w:val="20"/>
              </w:rPr>
            </w:pPr>
            <w:r>
              <w:rPr>
                <w:sz w:val="20"/>
                <w:szCs w:val="20"/>
              </w:rPr>
              <w:t>Normalized</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16BDA365" w14:textId="77777777" w:rsidR="007A00DD" w:rsidRDefault="00000000">
            <w:pPr>
              <w:widowControl w:val="0"/>
              <w:jc w:val="right"/>
              <w:rPr>
                <w:sz w:val="20"/>
                <w:szCs w:val="20"/>
              </w:rPr>
            </w:pPr>
            <w:r>
              <w:rPr>
                <w:sz w:val="20"/>
                <w:szCs w:val="20"/>
              </w:rPr>
              <w:t>0</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04322705" w14:textId="77777777" w:rsidR="007A00DD" w:rsidRDefault="00000000">
            <w:pPr>
              <w:widowControl w:val="0"/>
              <w:jc w:val="right"/>
              <w:rPr>
                <w:sz w:val="20"/>
                <w:szCs w:val="20"/>
              </w:rPr>
            </w:pPr>
            <w:r>
              <w:rPr>
                <w:sz w:val="20"/>
                <w:szCs w:val="20"/>
              </w:rPr>
              <w:t>1.339780666</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130FAFAE" w14:textId="77777777" w:rsidR="007A00DD" w:rsidRDefault="00000000">
            <w:pPr>
              <w:widowControl w:val="0"/>
              <w:jc w:val="right"/>
              <w:rPr>
                <w:sz w:val="20"/>
                <w:szCs w:val="20"/>
              </w:rPr>
            </w:pPr>
            <w:r>
              <w:rPr>
                <w:sz w:val="20"/>
                <w:szCs w:val="20"/>
              </w:rPr>
              <w:t>1.584621166</w:t>
            </w:r>
          </w:p>
        </w:tc>
        <w:tc>
          <w:tcPr>
            <w:tcW w:w="150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5BD356EA" w14:textId="77777777" w:rsidR="007A00DD" w:rsidRDefault="00000000">
            <w:pPr>
              <w:widowControl w:val="0"/>
              <w:jc w:val="right"/>
              <w:rPr>
                <w:sz w:val="20"/>
                <w:szCs w:val="20"/>
              </w:rPr>
            </w:pPr>
            <w:r>
              <w:rPr>
                <w:sz w:val="20"/>
                <w:szCs w:val="20"/>
              </w:rPr>
              <w:t>1.200871477</w:t>
            </w:r>
          </w:p>
        </w:tc>
      </w:tr>
    </w:tbl>
    <w:p w14:paraId="621F9A1B" w14:textId="77777777" w:rsidR="007A00DD" w:rsidRDefault="00000000">
      <w:pPr>
        <w:spacing w:before="240" w:after="24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Table 1. ImageJ analysis of Western Blot</w:t>
      </w:r>
    </w:p>
    <w:p w14:paraId="7167E488"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Evaluation of cell cycle progression </w:t>
      </w:r>
    </w:p>
    <w:p w14:paraId="39B736BC"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used flow cytometry to evaluate the impact of the inhibitors on cell survival and growth. Figure 2 shows cell groups after treatment for before and after induction. Flow cytometry analysis included cell groups of non-induced(0h) and induced (72h), using the native software of the Attune </w:t>
      </w:r>
      <w:proofErr w:type="spellStart"/>
      <w:r>
        <w:rPr>
          <w:rFonts w:ascii="Times New Roman" w:eastAsia="Times New Roman" w:hAnsi="Times New Roman" w:cs="Times New Roman"/>
          <w:sz w:val="24"/>
          <w:szCs w:val="24"/>
        </w:rPr>
        <w:t>NxT</w:t>
      </w:r>
      <w:proofErr w:type="spellEnd"/>
      <w:r>
        <w:rPr>
          <w:rFonts w:ascii="Times New Roman" w:eastAsia="Times New Roman" w:hAnsi="Times New Roman" w:cs="Times New Roman"/>
          <w:sz w:val="24"/>
          <w:szCs w:val="24"/>
        </w:rPr>
        <w:t xml:space="preserve"> Flow Cytometer. Cell cycle analysis was successfully quantified for 0h and 72h timepoints. </w:t>
      </w:r>
    </w:p>
    <w:p w14:paraId="44BB918E"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A02D6C2" wp14:editId="39F5A393">
            <wp:extent cx="2852738" cy="304993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852738" cy="3049931"/>
                    </a:xfrm>
                    <a:prstGeom prst="rect">
                      <a:avLst/>
                    </a:prstGeom>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14:anchorId="1F9102BD" wp14:editId="1922D951">
            <wp:extent cx="2814638" cy="3077688"/>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814638" cy="3077688"/>
                    </a:xfrm>
                    <a:prstGeom prst="rect">
                      <a:avLst/>
                    </a:prstGeom>
                    <a:ln/>
                  </pic:spPr>
                </pic:pic>
              </a:graphicData>
            </a:graphic>
          </wp:inline>
        </w:drawing>
      </w:r>
    </w:p>
    <w:p w14:paraId="6ACBC475"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8F7A4EE" wp14:editId="7F7F3A9D">
            <wp:extent cx="2981325" cy="2900363"/>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981325" cy="2900363"/>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4EF8986A" wp14:editId="31FBEC41">
            <wp:extent cx="2786063" cy="2897912"/>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2786063" cy="2897912"/>
                    </a:xfrm>
                    <a:prstGeom prst="rect">
                      <a:avLst/>
                    </a:prstGeom>
                    <a:ln/>
                  </pic:spPr>
                </pic:pic>
              </a:graphicData>
            </a:graphic>
          </wp:inline>
        </w:drawing>
      </w:r>
    </w:p>
    <w:p w14:paraId="263CAE79"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 Flow cytometric analysis of cell cycle distribution in MCF-7 cells.</w:t>
      </w:r>
    </w:p>
    <w:p w14:paraId="00FE1614" w14:textId="77777777" w:rsidR="007A00DD"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2 shows organized raw flow cytometric data. </w:t>
      </w:r>
    </w:p>
    <w:tbl>
      <w:tblPr>
        <w:tblStyle w:val="a0"/>
        <w:tblW w:w="9600" w:type="dxa"/>
        <w:tblInd w:w="-285" w:type="dxa"/>
        <w:tblBorders>
          <w:top w:val="nil"/>
          <w:left w:val="nil"/>
          <w:bottom w:val="nil"/>
          <w:right w:val="nil"/>
          <w:insideH w:val="nil"/>
          <w:insideV w:val="nil"/>
        </w:tblBorders>
        <w:tblLayout w:type="fixed"/>
        <w:tblLook w:val="0600" w:firstRow="0" w:lastRow="0" w:firstColumn="0" w:lastColumn="0" w:noHBand="1" w:noVBand="1"/>
      </w:tblPr>
      <w:tblGrid>
        <w:gridCol w:w="1320"/>
        <w:gridCol w:w="1035"/>
        <w:gridCol w:w="1035"/>
        <w:gridCol w:w="1035"/>
        <w:gridCol w:w="1035"/>
        <w:gridCol w:w="1035"/>
        <w:gridCol w:w="1035"/>
        <w:gridCol w:w="1035"/>
        <w:gridCol w:w="1035"/>
      </w:tblGrid>
      <w:tr w:rsidR="007A00DD" w14:paraId="312D0863"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EA1A0A2" w14:textId="77777777" w:rsidR="007A00DD" w:rsidRDefault="00000000">
            <w:pPr>
              <w:widowControl w:val="0"/>
              <w:rPr>
                <w:sz w:val="20"/>
                <w:szCs w:val="20"/>
              </w:rPr>
            </w:pPr>
            <w:r>
              <w:rPr>
                <w:sz w:val="20"/>
                <w:szCs w:val="20"/>
              </w:rPr>
              <w:t>Non-induced</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99C3681" w14:textId="77777777" w:rsidR="007A00DD" w:rsidRDefault="00000000">
            <w:pPr>
              <w:widowControl w:val="0"/>
              <w:rPr>
                <w:sz w:val="20"/>
                <w:szCs w:val="20"/>
              </w:rPr>
            </w:pPr>
            <w:r>
              <w:rPr>
                <w:sz w:val="20"/>
                <w:szCs w:val="20"/>
              </w:rPr>
              <w:t>DMSO-1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8E3B510" w14:textId="77777777" w:rsidR="007A00DD" w:rsidRDefault="00000000">
            <w:pPr>
              <w:widowControl w:val="0"/>
              <w:rPr>
                <w:sz w:val="20"/>
                <w:szCs w:val="20"/>
              </w:rPr>
            </w:pPr>
            <w:r>
              <w:rPr>
                <w:sz w:val="20"/>
                <w:szCs w:val="20"/>
              </w:rPr>
              <w:t>DMSO-2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2A5FFDD" w14:textId="77777777" w:rsidR="007A00DD" w:rsidRDefault="00000000">
            <w:pPr>
              <w:widowControl w:val="0"/>
              <w:rPr>
                <w:sz w:val="20"/>
                <w:szCs w:val="20"/>
              </w:rPr>
            </w:pPr>
            <w:r>
              <w:rPr>
                <w:sz w:val="20"/>
                <w:szCs w:val="20"/>
              </w:rPr>
              <w:t>A8-1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555A9BD" w14:textId="77777777" w:rsidR="007A00DD" w:rsidRDefault="00000000">
            <w:pPr>
              <w:widowControl w:val="0"/>
              <w:rPr>
                <w:sz w:val="20"/>
                <w:szCs w:val="20"/>
              </w:rPr>
            </w:pPr>
            <w:r>
              <w:rPr>
                <w:sz w:val="20"/>
                <w:szCs w:val="20"/>
              </w:rPr>
              <w:t>A8-2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25D7315" w14:textId="77777777" w:rsidR="007A00DD" w:rsidRDefault="00000000">
            <w:pPr>
              <w:widowControl w:val="0"/>
              <w:rPr>
                <w:sz w:val="20"/>
                <w:szCs w:val="20"/>
              </w:rPr>
            </w:pPr>
            <w:r>
              <w:rPr>
                <w:sz w:val="20"/>
                <w:szCs w:val="20"/>
              </w:rPr>
              <w:t>A10-1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614A1AE" w14:textId="77777777" w:rsidR="007A00DD" w:rsidRDefault="00000000">
            <w:pPr>
              <w:widowControl w:val="0"/>
              <w:rPr>
                <w:sz w:val="20"/>
                <w:szCs w:val="20"/>
              </w:rPr>
            </w:pPr>
            <w:r>
              <w:rPr>
                <w:sz w:val="20"/>
                <w:szCs w:val="20"/>
              </w:rPr>
              <w:t>A10-2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08B5AC5" w14:textId="77777777" w:rsidR="007A00DD" w:rsidRDefault="00000000">
            <w:pPr>
              <w:widowControl w:val="0"/>
              <w:rPr>
                <w:sz w:val="20"/>
                <w:szCs w:val="20"/>
              </w:rPr>
            </w:pPr>
            <w:r>
              <w:rPr>
                <w:sz w:val="20"/>
                <w:szCs w:val="20"/>
              </w:rPr>
              <w:t>G5-1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D25E0C6" w14:textId="77777777" w:rsidR="007A00DD" w:rsidRDefault="00000000">
            <w:pPr>
              <w:widowControl w:val="0"/>
              <w:rPr>
                <w:sz w:val="20"/>
                <w:szCs w:val="20"/>
              </w:rPr>
            </w:pPr>
            <w:r>
              <w:rPr>
                <w:sz w:val="20"/>
                <w:szCs w:val="20"/>
              </w:rPr>
              <w:t>G5-2</w:t>
            </w:r>
          </w:p>
        </w:tc>
      </w:tr>
      <w:tr w:rsidR="007A00DD" w14:paraId="5ADEF629"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7A7981B" w14:textId="77777777" w:rsidR="007A00DD" w:rsidRDefault="00000000">
            <w:pPr>
              <w:widowControl w:val="0"/>
              <w:rPr>
                <w:sz w:val="20"/>
                <w:szCs w:val="20"/>
              </w:rPr>
            </w:pPr>
            <w:r>
              <w:rPr>
                <w:sz w:val="20"/>
                <w:szCs w:val="20"/>
              </w:rPr>
              <w:t>G1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3830AFD" w14:textId="77777777" w:rsidR="007A00DD" w:rsidRDefault="00000000">
            <w:pPr>
              <w:widowControl w:val="0"/>
              <w:jc w:val="right"/>
              <w:rPr>
                <w:sz w:val="20"/>
                <w:szCs w:val="20"/>
              </w:rPr>
            </w:pPr>
            <w:r>
              <w:rPr>
                <w:sz w:val="20"/>
                <w:szCs w:val="20"/>
              </w:rPr>
              <w:t>70.1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5497B2E" w14:textId="77777777" w:rsidR="007A00DD" w:rsidRDefault="00000000">
            <w:pPr>
              <w:widowControl w:val="0"/>
              <w:jc w:val="right"/>
              <w:rPr>
                <w:sz w:val="20"/>
                <w:szCs w:val="20"/>
              </w:rPr>
            </w:pPr>
            <w:r>
              <w:rPr>
                <w:sz w:val="20"/>
                <w:szCs w:val="20"/>
              </w:rPr>
              <w:t>62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F07636F" w14:textId="77777777" w:rsidR="007A00DD" w:rsidRDefault="00000000">
            <w:pPr>
              <w:widowControl w:val="0"/>
              <w:jc w:val="right"/>
              <w:rPr>
                <w:sz w:val="20"/>
                <w:szCs w:val="20"/>
              </w:rPr>
            </w:pPr>
            <w:r>
              <w:rPr>
                <w:sz w:val="20"/>
                <w:szCs w:val="20"/>
              </w:rPr>
              <w:t>52.8</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97E7D5B" w14:textId="77777777" w:rsidR="007A00DD" w:rsidRDefault="00000000">
            <w:pPr>
              <w:widowControl w:val="0"/>
              <w:jc w:val="right"/>
              <w:rPr>
                <w:sz w:val="20"/>
                <w:szCs w:val="20"/>
              </w:rPr>
            </w:pPr>
            <w:r>
              <w:rPr>
                <w:sz w:val="20"/>
                <w:szCs w:val="20"/>
              </w:rPr>
              <w:t>57.1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49BD257" w14:textId="77777777" w:rsidR="007A00DD" w:rsidRDefault="00000000">
            <w:pPr>
              <w:widowControl w:val="0"/>
              <w:jc w:val="right"/>
              <w:rPr>
                <w:sz w:val="20"/>
                <w:szCs w:val="20"/>
              </w:rPr>
            </w:pPr>
            <w:r>
              <w:rPr>
                <w:sz w:val="20"/>
                <w:szCs w:val="20"/>
              </w:rPr>
              <w:t>42.4</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8E13BFB" w14:textId="77777777" w:rsidR="007A00DD" w:rsidRDefault="00000000">
            <w:pPr>
              <w:widowControl w:val="0"/>
              <w:jc w:val="right"/>
              <w:rPr>
                <w:sz w:val="20"/>
                <w:szCs w:val="20"/>
              </w:rPr>
            </w:pPr>
            <w:r>
              <w:rPr>
                <w:sz w:val="20"/>
                <w:szCs w:val="20"/>
              </w:rPr>
              <w:t>52.3</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3C6E6FF" w14:textId="77777777" w:rsidR="007A00DD" w:rsidRDefault="00000000">
            <w:pPr>
              <w:widowControl w:val="0"/>
              <w:jc w:val="right"/>
              <w:rPr>
                <w:sz w:val="20"/>
                <w:szCs w:val="20"/>
              </w:rPr>
            </w:pPr>
            <w:r>
              <w:rPr>
                <w:sz w:val="20"/>
                <w:szCs w:val="20"/>
              </w:rPr>
              <w:t>50</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098A42B" w14:textId="77777777" w:rsidR="007A00DD" w:rsidRDefault="00000000">
            <w:pPr>
              <w:widowControl w:val="0"/>
              <w:jc w:val="right"/>
              <w:rPr>
                <w:sz w:val="20"/>
                <w:szCs w:val="20"/>
              </w:rPr>
            </w:pPr>
            <w:r>
              <w:rPr>
                <w:sz w:val="20"/>
                <w:szCs w:val="20"/>
              </w:rPr>
              <w:t>57.8</w:t>
            </w:r>
          </w:p>
        </w:tc>
      </w:tr>
      <w:tr w:rsidR="007A00DD" w14:paraId="0C46B724"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6967C5B" w14:textId="77777777" w:rsidR="007A00DD" w:rsidRDefault="00000000">
            <w:pPr>
              <w:widowControl w:val="0"/>
              <w:rPr>
                <w:sz w:val="20"/>
                <w:szCs w:val="20"/>
              </w:rPr>
            </w:pPr>
            <w:r>
              <w:rPr>
                <w:sz w:val="20"/>
                <w:szCs w:val="20"/>
              </w:rPr>
              <w:t>G2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62D7365" w14:textId="77777777" w:rsidR="007A00DD" w:rsidRDefault="00000000">
            <w:pPr>
              <w:widowControl w:val="0"/>
              <w:jc w:val="right"/>
              <w:rPr>
                <w:sz w:val="20"/>
                <w:szCs w:val="20"/>
              </w:rPr>
            </w:pPr>
            <w:r>
              <w:rPr>
                <w:sz w:val="20"/>
                <w:szCs w:val="20"/>
              </w:rPr>
              <w:t>25</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8B0B658" w14:textId="77777777" w:rsidR="007A00DD" w:rsidRDefault="00000000">
            <w:pPr>
              <w:widowControl w:val="0"/>
              <w:jc w:val="right"/>
              <w:rPr>
                <w:sz w:val="20"/>
                <w:szCs w:val="20"/>
              </w:rPr>
            </w:pPr>
            <w:r>
              <w:rPr>
                <w:sz w:val="20"/>
                <w:szCs w:val="20"/>
              </w:rPr>
              <w:t>22.6</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E5020D8" w14:textId="77777777" w:rsidR="007A00DD" w:rsidRDefault="00000000">
            <w:pPr>
              <w:widowControl w:val="0"/>
              <w:jc w:val="right"/>
              <w:rPr>
                <w:sz w:val="20"/>
                <w:szCs w:val="20"/>
              </w:rPr>
            </w:pPr>
            <w:r>
              <w:rPr>
                <w:sz w:val="20"/>
                <w:szCs w:val="20"/>
              </w:rPr>
              <w:t>28.6</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308ADE6" w14:textId="77777777" w:rsidR="007A00DD" w:rsidRDefault="00000000">
            <w:pPr>
              <w:widowControl w:val="0"/>
              <w:jc w:val="right"/>
              <w:rPr>
                <w:sz w:val="20"/>
                <w:szCs w:val="20"/>
              </w:rPr>
            </w:pPr>
            <w:r>
              <w:rPr>
                <w:sz w:val="20"/>
                <w:szCs w:val="20"/>
              </w:rPr>
              <w:t>23.9</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F042991" w14:textId="77777777" w:rsidR="007A00DD" w:rsidRDefault="00000000">
            <w:pPr>
              <w:widowControl w:val="0"/>
              <w:jc w:val="right"/>
              <w:rPr>
                <w:sz w:val="20"/>
                <w:szCs w:val="20"/>
              </w:rPr>
            </w:pPr>
            <w:r>
              <w:rPr>
                <w:sz w:val="20"/>
                <w:szCs w:val="20"/>
              </w:rPr>
              <w:t>28.4</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DBB97CA" w14:textId="77777777" w:rsidR="007A00DD" w:rsidRDefault="00000000">
            <w:pPr>
              <w:widowControl w:val="0"/>
              <w:jc w:val="right"/>
              <w:rPr>
                <w:sz w:val="20"/>
                <w:szCs w:val="20"/>
              </w:rPr>
            </w:pPr>
            <w:r>
              <w:rPr>
                <w:sz w:val="20"/>
                <w:szCs w:val="20"/>
              </w:rPr>
              <w:t>31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0BADA73" w14:textId="77777777" w:rsidR="007A00DD" w:rsidRDefault="00000000">
            <w:pPr>
              <w:widowControl w:val="0"/>
              <w:jc w:val="right"/>
              <w:rPr>
                <w:sz w:val="20"/>
                <w:szCs w:val="20"/>
              </w:rPr>
            </w:pPr>
            <w:r>
              <w:rPr>
                <w:sz w:val="20"/>
                <w:szCs w:val="20"/>
              </w:rPr>
              <w:t>37.8</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B5B6536" w14:textId="77777777" w:rsidR="007A00DD" w:rsidRDefault="00000000">
            <w:pPr>
              <w:widowControl w:val="0"/>
              <w:jc w:val="right"/>
              <w:rPr>
                <w:sz w:val="20"/>
                <w:szCs w:val="20"/>
              </w:rPr>
            </w:pPr>
            <w:r>
              <w:rPr>
                <w:sz w:val="20"/>
                <w:szCs w:val="20"/>
              </w:rPr>
              <w:t>31.4</w:t>
            </w:r>
          </w:p>
        </w:tc>
      </w:tr>
      <w:tr w:rsidR="007A00DD" w14:paraId="33A5A3FA"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FEC907C" w14:textId="77777777" w:rsidR="007A00DD" w:rsidRDefault="00000000">
            <w:pPr>
              <w:widowControl w:val="0"/>
              <w:rPr>
                <w:sz w:val="20"/>
                <w:szCs w:val="20"/>
              </w:rPr>
            </w:pPr>
            <w:r>
              <w:rPr>
                <w:sz w:val="20"/>
                <w:szCs w:val="20"/>
              </w:rPr>
              <w:t>S</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16FA590" w14:textId="77777777" w:rsidR="007A00DD" w:rsidRDefault="00000000">
            <w:pPr>
              <w:widowControl w:val="0"/>
              <w:jc w:val="right"/>
              <w:rPr>
                <w:sz w:val="20"/>
                <w:szCs w:val="20"/>
              </w:rPr>
            </w:pPr>
            <w:r>
              <w:rPr>
                <w:sz w:val="20"/>
                <w:szCs w:val="20"/>
              </w:rPr>
              <w:t>3.1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32F47DA" w14:textId="77777777" w:rsidR="007A00DD" w:rsidRDefault="00000000">
            <w:pPr>
              <w:widowControl w:val="0"/>
              <w:jc w:val="right"/>
              <w:rPr>
                <w:sz w:val="20"/>
                <w:szCs w:val="20"/>
              </w:rPr>
            </w:pPr>
            <w:r>
              <w:rPr>
                <w:sz w:val="20"/>
                <w:szCs w:val="20"/>
              </w:rPr>
              <w:t>5.9</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7E43510" w14:textId="77777777" w:rsidR="007A00DD" w:rsidRDefault="00000000">
            <w:pPr>
              <w:widowControl w:val="0"/>
              <w:jc w:val="right"/>
              <w:rPr>
                <w:sz w:val="20"/>
                <w:szCs w:val="20"/>
              </w:rPr>
            </w:pPr>
            <w:r>
              <w:rPr>
                <w:sz w:val="20"/>
                <w:szCs w:val="20"/>
              </w:rPr>
              <w:t>12.5</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8D47500" w14:textId="77777777" w:rsidR="007A00DD" w:rsidRDefault="00000000">
            <w:pPr>
              <w:widowControl w:val="0"/>
              <w:jc w:val="right"/>
              <w:rPr>
                <w:sz w:val="20"/>
                <w:szCs w:val="20"/>
              </w:rPr>
            </w:pPr>
            <w:r>
              <w:rPr>
                <w:sz w:val="20"/>
                <w:szCs w:val="20"/>
              </w:rPr>
              <w:t>14.1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9995C6A" w14:textId="77777777" w:rsidR="007A00DD" w:rsidRDefault="00000000">
            <w:pPr>
              <w:widowControl w:val="0"/>
              <w:jc w:val="right"/>
              <w:rPr>
                <w:sz w:val="20"/>
                <w:szCs w:val="20"/>
              </w:rPr>
            </w:pPr>
            <w:r>
              <w:rPr>
                <w:sz w:val="20"/>
                <w:szCs w:val="20"/>
              </w:rPr>
              <w:t>17.5</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B7B1910" w14:textId="77777777" w:rsidR="007A00DD" w:rsidRDefault="00000000">
            <w:pPr>
              <w:widowControl w:val="0"/>
              <w:jc w:val="right"/>
              <w:rPr>
                <w:sz w:val="20"/>
                <w:szCs w:val="20"/>
              </w:rPr>
            </w:pPr>
            <w:r>
              <w:rPr>
                <w:sz w:val="20"/>
                <w:szCs w:val="20"/>
              </w:rPr>
              <w:t>13</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C7D4A63" w14:textId="77777777" w:rsidR="007A00DD" w:rsidRDefault="00000000">
            <w:pPr>
              <w:widowControl w:val="0"/>
              <w:jc w:val="right"/>
              <w:rPr>
                <w:sz w:val="20"/>
                <w:szCs w:val="20"/>
              </w:rPr>
            </w:pPr>
            <w:r>
              <w:rPr>
                <w:sz w:val="20"/>
                <w:szCs w:val="20"/>
              </w:rPr>
              <w:t>5.3</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D9B8E0E" w14:textId="77777777" w:rsidR="007A00DD" w:rsidRDefault="00000000">
            <w:pPr>
              <w:widowControl w:val="0"/>
              <w:jc w:val="right"/>
              <w:rPr>
                <w:sz w:val="20"/>
                <w:szCs w:val="20"/>
              </w:rPr>
            </w:pPr>
            <w:r>
              <w:rPr>
                <w:sz w:val="20"/>
                <w:szCs w:val="20"/>
              </w:rPr>
              <w:t>5.1</w:t>
            </w:r>
          </w:p>
        </w:tc>
      </w:tr>
      <w:tr w:rsidR="007A00DD" w14:paraId="41C707D9"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4906F14" w14:textId="77777777" w:rsidR="007A00DD" w:rsidRDefault="00000000">
            <w:pPr>
              <w:widowControl w:val="0"/>
              <w:rPr>
                <w:sz w:val="20"/>
                <w:szCs w:val="20"/>
              </w:rPr>
            </w:pPr>
            <w:r>
              <w:rPr>
                <w:sz w:val="20"/>
                <w:szCs w:val="20"/>
              </w:rPr>
              <w:t>induced</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4025A7C" w14:textId="77777777" w:rsidR="007A00DD" w:rsidRDefault="00000000">
            <w:pPr>
              <w:widowControl w:val="0"/>
              <w:rPr>
                <w:sz w:val="20"/>
                <w:szCs w:val="20"/>
              </w:rPr>
            </w:pPr>
            <w:r>
              <w:rPr>
                <w:sz w:val="20"/>
                <w:szCs w:val="20"/>
              </w:rPr>
              <w:t>DMSO-1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9562994" w14:textId="77777777" w:rsidR="007A00DD" w:rsidRDefault="00000000">
            <w:pPr>
              <w:widowControl w:val="0"/>
              <w:rPr>
                <w:sz w:val="20"/>
                <w:szCs w:val="20"/>
              </w:rPr>
            </w:pPr>
            <w:r>
              <w:rPr>
                <w:sz w:val="20"/>
                <w:szCs w:val="20"/>
              </w:rPr>
              <w:t>DMSO-2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985E723" w14:textId="77777777" w:rsidR="007A00DD" w:rsidRDefault="00000000">
            <w:pPr>
              <w:widowControl w:val="0"/>
              <w:rPr>
                <w:sz w:val="20"/>
                <w:szCs w:val="20"/>
              </w:rPr>
            </w:pPr>
            <w:r>
              <w:rPr>
                <w:sz w:val="20"/>
                <w:szCs w:val="20"/>
              </w:rPr>
              <w:t>A8-1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100F16B" w14:textId="77777777" w:rsidR="007A00DD" w:rsidRDefault="00000000">
            <w:pPr>
              <w:widowControl w:val="0"/>
              <w:rPr>
                <w:sz w:val="20"/>
                <w:szCs w:val="20"/>
              </w:rPr>
            </w:pPr>
            <w:r>
              <w:rPr>
                <w:sz w:val="20"/>
                <w:szCs w:val="20"/>
              </w:rPr>
              <w:t>A8-2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C3A8F8E" w14:textId="77777777" w:rsidR="007A00DD" w:rsidRDefault="00000000">
            <w:pPr>
              <w:widowControl w:val="0"/>
              <w:rPr>
                <w:sz w:val="20"/>
                <w:szCs w:val="20"/>
              </w:rPr>
            </w:pPr>
            <w:r>
              <w:rPr>
                <w:sz w:val="20"/>
                <w:szCs w:val="20"/>
              </w:rPr>
              <w:t>A10-1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DA213D2" w14:textId="77777777" w:rsidR="007A00DD" w:rsidRDefault="00000000">
            <w:pPr>
              <w:widowControl w:val="0"/>
              <w:rPr>
                <w:sz w:val="20"/>
                <w:szCs w:val="20"/>
              </w:rPr>
            </w:pPr>
            <w:r>
              <w:rPr>
                <w:sz w:val="20"/>
                <w:szCs w:val="20"/>
              </w:rPr>
              <w:t>A10-2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DDF6C4E" w14:textId="77777777" w:rsidR="007A00DD" w:rsidRDefault="00000000">
            <w:pPr>
              <w:widowControl w:val="0"/>
              <w:rPr>
                <w:sz w:val="20"/>
                <w:szCs w:val="20"/>
              </w:rPr>
            </w:pPr>
            <w:r>
              <w:rPr>
                <w:sz w:val="20"/>
                <w:szCs w:val="20"/>
              </w:rPr>
              <w:t>G5-1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F4AC07C" w14:textId="77777777" w:rsidR="007A00DD" w:rsidRDefault="00000000">
            <w:pPr>
              <w:widowControl w:val="0"/>
              <w:rPr>
                <w:sz w:val="20"/>
                <w:szCs w:val="20"/>
              </w:rPr>
            </w:pPr>
            <w:r>
              <w:rPr>
                <w:sz w:val="20"/>
                <w:szCs w:val="20"/>
              </w:rPr>
              <w:t>G5-2</w:t>
            </w:r>
          </w:p>
        </w:tc>
      </w:tr>
      <w:tr w:rsidR="007A00DD" w14:paraId="3D1EDABE"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B84EF85" w14:textId="77777777" w:rsidR="007A00DD" w:rsidRDefault="00000000">
            <w:pPr>
              <w:widowControl w:val="0"/>
              <w:rPr>
                <w:sz w:val="20"/>
                <w:szCs w:val="20"/>
              </w:rPr>
            </w:pPr>
            <w:r>
              <w:rPr>
                <w:sz w:val="20"/>
                <w:szCs w:val="20"/>
              </w:rPr>
              <w:t>G1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5E57313" w14:textId="77777777" w:rsidR="007A00DD" w:rsidRDefault="00000000">
            <w:pPr>
              <w:widowControl w:val="0"/>
              <w:jc w:val="right"/>
              <w:rPr>
                <w:sz w:val="20"/>
                <w:szCs w:val="20"/>
              </w:rPr>
            </w:pPr>
            <w:r>
              <w:rPr>
                <w:sz w:val="20"/>
                <w:szCs w:val="20"/>
              </w:rPr>
              <w:t>82.4</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E7C4464" w14:textId="77777777" w:rsidR="007A00DD" w:rsidRDefault="00000000">
            <w:pPr>
              <w:widowControl w:val="0"/>
              <w:jc w:val="right"/>
              <w:rPr>
                <w:sz w:val="20"/>
                <w:szCs w:val="20"/>
              </w:rPr>
            </w:pPr>
            <w:r>
              <w:rPr>
                <w:sz w:val="20"/>
                <w:szCs w:val="20"/>
              </w:rPr>
              <w:t>85.8</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0589BC7" w14:textId="77777777" w:rsidR="007A00DD" w:rsidRDefault="00000000">
            <w:pPr>
              <w:widowControl w:val="0"/>
              <w:jc w:val="right"/>
              <w:rPr>
                <w:sz w:val="20"/>
                <w:szCs w:val="20"/>
              </w:rPr>
            </w:pPr>
            <w:r>
              <w:rPr>
                <w:sz w:val="20"/>
                <w:szCs w:val="20"/>
              </w:rPr>
              <w:t>71.3</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25CE6E7" w14:textId="77777777" w:rsidR="007A00DD" w:rsidRDefault="00000000">
            <w:pPr>
              <w:widowControl w:val="0"/>
              <w:jc w:val="right"/>
              <w:rPr>
                <w:sz w:val="20"/>
                <w:szCs w:val="20"/>
              </w:rPr>
            </w:pPr>
            <w:r>
              <w:rPr>
                <w:sz w:val="20"/>
                <w:szCs w:val="20"/>
              </w:rPr>
              <w:t>81.4</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112FBF1" w14:textId="77777777" w:rsidR="007A00DD" w:rsidRDefault="00000000">
            <w:pPr>
              <w:widowControl w:val="0"/>
              <w:jc w:val="right"/>
              <w:rPr>
                <w:sz w:val="20"/>
                <w:szCs w:val="20"/>
              </w:rPr>
            </w:pPr>
            <w:r>
              <w:rPr>
                <w:sz w:val="20"/>
                <w:szCs w:val="20"/>
              </w:rPr>
              <w:t>76.6</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0582617" w14:textId="77777777" w:rsidR="007A00DD" w:rsidRDefault="00000000">
            <w:pPr>
              <w:widowControl w:val="0"/>
              <w:jc w:val="right"/>
              <w:rPr>
                <w:sz w:val="20"/>
                <w:szCs w:val="20"/>
              </w:rPr>
            </w:pPr>
            <w:r>
              <w:rPr>
                <w:sz w:val="20"/>
                <w:szCs w:val="20"/>
              </w:rPr>
              <w:t>78.2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0BA1C85" w14:textId="77777777" w:rsidR="007A00DD" w:rsidRDefault="00000000">
            <w:pPr>
              <w:widowControl w:val="0"/>
              <w:jc w:val="right"/>
              <w:rPr>
                <w:sz w:val="20"/>
                <w:szCs w:val="20"/>
              </w:rPr>
            </w:pPr>
            <w:r>
              <w:rPr>
                <w:sz w:val="20"/>
                <w:szCs w:val="20"/>
              </w:rPr>
              <w:t>80.5</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EE4DDD4" w14:textId="77777777" w:rsidR="007A00DD" w:rsidRDefault="00000000">
            <w:pPr>
              <w:widowControl w:val="0"/>
              <w:jc w:val="right"/>
              <w:rPr>
                <w:sz w:val="20"/>
                <w:szCs w:val="20"/>
              </w:rPr>
            </w:pPr>
            <w:r>
              <w:rPr>
                <w:sz w:val="20"/>
                <w:szCs w:val="20"/>
              </w:rPr>
              <w:t>82</w:t>
            </w:r>
          </w:p>
        </w:tc>
      </w:tr>
      <w:tr w:rsidR="007A00DD" w14:paraId="2F536C96"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3BA84DC" w14:textId="77777777" w:rsidR="007A00DD" w:rsidRDefault="00000000">
            <w:pPr>
              <w:widowControl w:val="0"/>
              <w:rPr>
                <w:sz w:val="20"/>
                <w:szCs w:val="20"/>
              </w:rPr>
            </w:pPr>
            <w:r>
              <w:rPr>
                <w:sz w:val="20"/>
                <w:szCs w:val="20"/>
              </w:rPr>
              <w:t>G2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587E3F6" w14:textId="77777777" w:rsidR="007A00DD" w:rsidRDefault="00000000">
            <w:pPr>
              <w:widowControl w:val="0"/>
              <w:jc w:val="right"/>
              <w:rPr>
                <w:sz w:val="20"/>
                <w:szCs w:val="20"/>
              </w:rPr>
            </w:pPr>
            <w:r>
              <w:rPr>
                <w:sz w:val="20"/>
                <w:szCs w:val="20"/>
              </w:rPr>
              <w:t>6.6</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9410765" w14:textId="77777777" w:rsidR="007A00DD" w:rsidRDefault="00000000">
            <w:pPr>
              <w:widowControl w:val="0"/>
              <w:jc w:val="right"/>
              <w:rPr>
                <w:sz w:val="20"/>
                <w:szCs w:val="20"/>
              </w:rPr>
            </w:pPr>
            <w:r>
              <w:rPr>
                <w:sz w:val="20"/>
                <w:szCs w:val="20"/>
              </w:rPr>
              <w:t>5.8</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EC57BEA" w14:textId="77777777" w:rsidR="007A00DD" w:rsidRDefault="00000000">
            <w:pPr>
              <w:widowControl w:val="0"/>
              <w:jc w:val="right"/>
              <w:rPr>
                <w:sz w:val="20"/>
                <w:szCs w:val="20"/>
              </w:rPr>
            </w:pPr>
            <w:r>
              <w:rPr>
                <w:sz w:val="20"/>
                <w:szCs w:val="20"/>
              </w:rPr>
              <w:t>13.3</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92FB21F" w14:textId="77777777" w:rsidR="007A00DD" w:rsidRDefault="00000000">
            <w:pPr>
              <w:widowControl w:val="0"/>
              <w:jc w:val="right"/>
              <w:rPr>
                <w:sz w:val="20"/>
                <w:szCs w:val="20"/>
              </w:rPr>
            </w:pPr>
            <w:r>
              <w:rPr>
                <w:sz w:val="20"/>
                <w:szCs w:val="20"/>
              </w:rPr>
              <w:t>11.5</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5D1419B" w14:textId="77777777" w:rsidR="007A00DD" w:rsidRDefault="00000000">
            <w:pPr>
              <w:widowControl w:val="0"/>
              <w:jc w:val="right"/>
              <w:rPr>
                <w:sz w:val="20"/>
                <w:szCs w:val="20"/>
              </w:rPr>
            </w:pPr>
            <w:r>
              <w:rPr>
                <w:sz w:val="20"/>
                <w:szCs w:val="20"/>
              </w:rPr>
              <w:t>11.6</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7CE91D5" w14:textId="77777777" w:rsidR="007A00DD" w:rsidRDefault="00000000">
            <w:pPr>
              <w:widowControl w:val="0"/>
              <w:jc w:val="right"/>
              <w:rPr>
                <w:sz w:val="20"/>
                <w:szCs w:val="20"/>
              </w:rPr>
            </w:pPr>
            <w:r>
              <w:rPr>
                <w:sz w:val="20"/>
                <w:szCs w:val="20"/>
              </w:rPr>
              <w:t>10.2</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ABD4688" w14:textId="77777777" w:rsidR="007A00DD" w:rsidRDefault="00000000">
            <w:pPr>
              <w:widowControl w:val="0"/>
              <w:jc w:val="right"/>
              <w:rPr>
                <w:sz w:val="20"/>
                <w:szCs w:val="20"/>
              </w:rPr>
            </w:pPr>
            <w:r>
              <w:rPr>
                <w:sz w:val="20"/>
                <w:szCs w:val="20"/>
              </w:rPr>
              <w:t>11.4</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A47CB69" w14:textId="77777777" w:rsidR="007A00DD" w:rsidRDefault="00000000">
            <w:pPr>
              <w:widowControl w:val="0"/>
              <w:jc w:val="right"/>
              <w:rPr>
                <w:sz w:val="20"/>
                <w:szCs w:val="20"/>
              </w:rPr>
            </w:pPr>
            <w:r>
              <w:rPr>
                <w:sz w:val="20"/>
                <w:szCs w:val="20"/>
              </w:rPr>
              <w:t>11.2</w:t>
            </w:r>
          </w:p>
        </w:tc>
      </w:tr>
      <w:tr w:rsidR="007A00DD" w14:paraId="6B48E1F8" w14:textId="77777777">
        <w:trPr>
          <w:trHeight w:val="315"/>
        </w:trPr>
        <w:tc>
          <w:tcPr>
            <w:tcW w:w="13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E7990A2" w14:textId="77777777" w:rsidR="007A00DD" w:rsidRDefault="00000000">
            <w:pPr>
              <w:widowControl w:val="0"/>
              <w:rPr>
                <w:sz w:val="20"/>
                <w:szCs w:val="20"/>
              </w:rPr>
            </w:pPr>
            <w:r>
              <w:rPr>
                <w:sz w:val="20"/>
                <w:szCs w:val="20"/>
              </w:rPr>
              <w:t>S</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8AE5E0A" w14:textId="77777777" w:rsidR="007A00DD" w:rsidRDefault="00000000">
            <w:pPr>
              <w:widowControl w:val="0"/>
              <w:jc w:val="right"/>
              <w:rPr>
                <w:sz w:val="20"/>
                <w:szCs w:val="20"/>
              </w:rPr>
            </w:pPr>
            <w:r>
              <w:rPr>
                <w:sz w:val="20"/>
                <w:szCs w:val="20"/>
              </w:rPr>
              <w:t>0.9</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45A482D" w14:textId="77777777" w:rsidR="007A00DD" w:rsidRDefault="00000000">
            <w:pPr>
              <w:widowControl w:val="0"/>
              <w:jc w:val="right"/>
              <w:rPr>
                <w:sz w:val="20"/>
                <w:szCs w:val="20"/>
              </w:rPr>
            </w:pPr>
            <w:r>
              <w:rPr>
                <w:sz w:val="20"/>
                <w:szCs w:val="20"/>
              </w:rPr>
              <w:t>1.3</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68FB612" w14:textId="77777777" w:rsidR="007A00DD" w:rsidRDefault="00000000">
            <w:pPr>
              <w:widowControl w:val="0"/>
              <w:jc w:val="right"/>
              <w:rPr>
                <w:sz w:val="20"/>
                <w:szCs w:val="20"/>
              </w:rPr>
            </w:pPr>
            <w:r>
              <w:rPr>
                <w:sz w:val="20"/>
                <w:szCs w:val="20"/>
              </w:rPr>
              <w:t>5.6</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248B492" w14:textId="77777777" w:rsidR="007A00DD" w:rsidRDefault="00000000">
            <w:pPr>
              <w:widowControl w:val="0"/>
              <w:jc w:val="right"/>
              <w:rPr>
                <w:sz w:val="20"/>
                <w:szCs w:val="20"/>
              </w:rPr>
            </w:pPr>
            <w:r>
              <w:rPr>
                <w:sz w:val="20"/>
                <w:szCs w:val="20"/>
              </w:rPr>
              <w:t>4.4</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A440B52" w14:textId="77777777" w:rsidR="007A00DD" w:rsidRDefault="00000000">
            <w:pPr>
              <w:widowControl w:val="0"/>
              <w:jc w:val="right"/>
              <w:rPr>
                <w:sz w:val="20"/>
                <w:szCs w:val="20"/>
              </w:rPr>
            </w:pPr>
            <w:r>
              <w:rPr>
                <w:sz w:val="20"/>
                <w:szCs w:val="20"/>
              </w:rPr>
              <w:t>4.1</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F73312B" w14:textId="77777777" w:rsidR="007A00DD" w:rsidRDefault="00000000">
            <w:pPr>
              <w:widowControl w:val="0"/>
              <w:jc w:val="right"/>
              <w:rPr>
                <w:sz w:val="20"/>
                <w:szCs w:val="20"/>
              </w:rPr>
            </w:pPr>
            <w:r>
              <w:rPr>
                <w:sz w:val="20"/>
                <w:szCs w:val="20"/>
              </w:rPr>
              <w:t>7.9</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131F326" w14:textId="77777777" w:rsidR="007A00DD" w:rsidRDefault="00000000">
            <w:pPr>
              <w:widowControl w:val="0"/>
              <w:jc w:val="right"/>
              <w:rPr>
                <w:sz w:val="20"/>
                <w:szCs w:val="20"/>
              </w:rPr>
            </w:pPr>
            <w:r>
              <w:rPr>
                <w:sz w:val="20"/>
                <w:szCs w:val="20"/>
              </w:rPr>
              <w:t>5.3</w:t>
            </w:r>
          </w:p>
        </w:tc>
        <w:tc>
          <w:tcPr>
            <w:tcW w:w="103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449B8F2" w14:textId="77777777" w:rsidR="007A00DD" w:rsidRDefault="00000000">
            <w:pPr>
              <w:widowControl w:val="0"/>
              <w:jc w:val="right"/>
              <w:rPr>
                <w:sz w:val="20"/>
                <w:szCs w:val="20"/>
              </w:rPr>
            </w:pPr>
            <w:r>
              <w:rPr>
                <w:sz w:val="20"/>
                <w:szCs w:val="20"/>
              </w:rPr>
              <w:t>3.6</w:t>
            </w:r>
          </w:p>
        </w:tc>
      </w:tr>
    </w:tbl>
    <w:p w14:paraId="6611E0ED"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2. Raw flow cytometric data. “1” and “2” represent sample numbers - duplicates.</w:t>
      </w:r>
    </w:p>
    <w:p w14:paraId="56EECB6C" w14:textId="77777777" w:rsidR="007A00DD" w:rsidRDefault="00000000">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3 represents average values of duplicates. This data was used to generate histograms to visualize results before and after treatment as shown in Figure 3.</w:t>
      </w:r>
    </w:p>
    <w:p w14:paraId="21FEDA95" w14:textId="77777777" w:rsidR="007A00DD" w:rsidRDefault="007A00DD">
      <w:pPr>
        <w:spacing w:before="240" w:after="240" w:line="480" w:lineRule="auto"/>
        <w:rPr>
          <w:rFonts w:ascii="Times New Roman" w:eastAsia="Times New Roman" w:hAnsi="Times New Roman" w:cs="Times New Roman"/>
          <w:sz w:val="24"/>
          <w:szCs w:val="24"/>
        </w:rPr>
      </w:pPr>
    </w:p>
    <w:p w14:paraId="491452A1" w14:textId="77777777" w:rsidR="007A00DD" w:rsidRDefault="007A00DD">
      <w:pPr>
        <w:spacing w:before="240" w:after="240" w:line="480" w:lineRule="auto"/>
        <w:rPr>
          <w:rFonts w:ascii="Times New Roman" w:eastAsia="Times New Roman" w:hAnsi="Times New Roman" w:cs="Times New Roman"/>
          <w:sz w:val="24"/>
          <w:szCs w:val="24"/>
        </w:rPr>
      </w:pPr>
    </w:p>
    <w:tbl>
      <w:tblPr>
        <w:tblStyle w:val="a1"/>
        <w:tblW w:w="85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0"/>
        <w:gridCol w:w="1710"/>
        <w:gridCol w:w="1710"/>
        <w:gridCol w:w="1710"/>
        <w:gridCol w:w="1710"/>
      </w:tblGrid>
      <w:tr w:rsidR="007A00DD" w14:paraId="44344BF9"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BB2D5CA" w14:textId="77777777" w:rsidR="007A00DD" w:rsidRDefault="00000000">
            <w:pPr>
              <w:widowControl w:val="0"/>
              <w:rPr>
                <w:sz w:val="20"/>
                <w:szCs w:val="20"/>
              </w:rPr>
            </w:pPr>
            <w:r>
              <w:rPr>
                <w:sz w:val="20"/>
                <w:szCs w:val="20"/>
              </w:rPr>
              <w:lastRenderedPageBreak/>
              <w:t>Non-induced</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6C05E0F" w14:textId="77777777" w:rsidR="007A00DD" w:rsidRDefault="00000000">
            <w:pPr>
              <w:widowControl w:val="0"/>
              <w:rPr>
                <w:sz w:val="20"/>
                <w:szCs w:val="20"/>
              </w:rPr>
            </w:pPr>
            <w:r>
              <w:rPr>
                <w:sz w:val="20"/>
                <w:szCs w:val="20"/>
              </w:rPr>
              <w:t>DMSO</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CE5175B" w14:textId="77777777" w:rsidR="007A00DD" w:rsidRDefault="00000000">
            <w:pPr>
              <w:widowControl w:val="0"/>
              <w:rPr>
                <w:sz w:val="20"/>
                <w:szCs w:val="20"/>
              </w:rPr>
            </w:pPr>
            <w:r>
              <w:rPr>
                <w:sz w:val="20"/>
                <w:szCs w:val="20"/>
              </w:rPr>
              <w:t>A8</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BBDB07D" w14:textId="77777777" w:rsidR="007A00DD" w:rsidRDefault="00000000">
            <w:pPr>
              <w:widowControl w:val="0"/>
              <w:rPr>
                <w:sz w:val="20"/>
                <w:szCs w:val="20"/>
              </w:rPr>
            </w:pPr>
            <w:r>
              <w:rPr>
                <w:sz w:val="20"/>
                <w:szCs w:val="20"/>
              </w:rPr>
              <w:t>A10</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7286840" w14:textId="77777777" w:rsidR="007A00DD" w:rsidRDefault="00000000">
            <w:pPr>
              <w:widowControl w:val="0"/>
              <w:rPr>
                <w:sz w:val="20"/>
                <w:szCs w:val="20"/>
              </w:rPr>
            </w:pPr>
            <w:r>
              <w:rPr>
                <w:sz w:val="20"/>
                <w:szCs w:val="20"/>
              </w:rPr>
              <w:t>G5</w:t>
            </w:r>
          </w:p>
        </w:tc>
      </w:tr>
      <w:tr w:rsidR="007A00DD" w14:paraId="68AF726A"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5535870" w14:textId="77777777" w:rsidR="007A00DD" w:rsidRDefault="00000000">
            <w:pPr>
              <w:widowControl w:val="0"/>
              <w:rPr>
                <w:sz w:val="20"/>
                <w:szCs w:val="20"/>
              </w:rPr>
            </w:pPr>
            <w:r>
              <w:rPr>
                <w:sz w:val="20"/>
                <w:szCs w:val="20"/>
              </w:rPr>
              <w:t>G1</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9749762" w14:textId="77777777" w:rsidR="007A00DD" w:rsidRDefault="00000000">
            <w:pPr>
              <w:widowControl w:val="0"/>
              <w:jc w:val="right"/>
              <w:rPr>
                <w:sz w:val="20"/>
                <w:szCs w:val="20"/>
              </w:rPr>
            </w:pPr>
            <w:r>
              <w:rPr>
                <w:sz w:val="20"/>
                <w:szCs w:val="20"/>
              </w:rPr>
              <w:t>66.05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8E04425" w14:textId="77777777" w:rsidR="007A00DD" w:rsidRDefault="00000000">
            <w:pPr>
              <w:widowControl w:val="0"/>
              <w:jc w:val="right"/>
              <w:rPr>
                <w:sz w:val="20"/>
                <w:szCs w:val="20"/>
              </w:rPr>
            </w:pPr>
            <w:r>
              <w:rPr>
                <w:sz w:val="20"/>
                <w:szCs w:val="20"/>
              </w:rPr>
              <w:t>54.95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EA32C77" w14:textId="77777777" w:rsidR="007A00DD" w:rsidRDefault="00000000">
            <w:pPr>
              <w:widowControl w:val="0"/>
              <w:jc w:val="right"/>
              <w:rPr>
                <w:sz w:val="20"/>
                <w:szCs w:val="20"/>
              </w:rPr>
            </w:pPr>
            <w:r>
              <w:rPr>
                <w:sz w:val="20"/>
                <w:szCs w:val="20"/>
              </w:rPr>
              <w:t>47.35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4ED8FB8" w14:textId="77777777" w:rsidR="007A00DD" w:rsidRDefault="00000000">
            <w:pPr>
              <w:widowControl w:val="0"/>
              <w:jc w:val="right"/>
              <w:rPr>
                <w:sz w:val="20"/>
                <w:szCs w:val="20"/>
              </w:rPr>
            </w:pPr>
            <w:r>
              <w:rPr>
                <w:sz w:val="20"/>
                <w:szCs w:val="20"/>
              </w:rPr>
              <w:t>53.9</w:t>
            </w:r>
          </w:p>
        </w:tc>
      </w:tr>
      <w:tr w:rsidR="007A00DD" w14:paraId="40997310"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DC52DEB" w14:textId="77777777" w:rsidR="007A00DD" w:rsidRDefault="00000000">
            <w:pPr>
              <w:widowControl w:val="0"/>
              <w:rPr>
                <w:sz w:val="20"/>
                <w:szCs w:val="20"/>
              </w:rPr>
            </w:pPr>
            <w:r>
              <w:rPr>
                <w:sz w:val="20"/>
                <w:szCs w:val="20"/>
              </w:rPr>
              <w:t>G2</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07F48F2" w14:textId="77777777" w:rsidR="007A00DD" w:rsidRDefault="00000000">
            <w:pPr>
              <w:widowControl w:val="0"/>
              <w:jc w:val="right"/>
              <w:rPr>
                <w:sz w:val="20"/>
                <w:szCs w:val="20"/>
              </w:rPr>
            </w:pPr>
            <w:r>
              <w:rPr>
                <w:sz w:val="20"/>
                <w:szCs w:val="20"/>
              </w:rPr>
              <w:t>23.8</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E1E24B6" w14:textId="77777777" w:rsidR="007A00DD" w:rsidRDefault="00000000">
            <w:pPr>
              <w:widowControl w:val="0"/>
              <w:jc w:val="right"/>
              <w:rPr>
                <w:sz w:val="20"/>
                <w:szCs w:val="20"/>
              </w:rPr>
            </w:pPr>
            <w:r>
              <w:rPr>
                <w:sz w:val="20"/>
                <w:szCs w:val="20"/>
              </w:rPr>
              <w:t>26.25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57327D1" w14:textId="77777777" w:rsidR="007A00DD" w:rsidRDefault="00000000">
            <w:pPr>
              <w:widowControl w:val="0"/>
              <w:jc w:val="right"/>
              <w:rPr>
                <w:sz w:val="20"/>
                <w:szCs w:val="20"/>
              </w:rPr>
            </w:pPr>
            <w:r>
              <w:rPr>
                <w:sz w:val="20"/>
                <w:szCs w:val="20"/>
              </w:rPr>
              <w:t>29.7</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DCB7021" w14:textId="77777777" w:rsidR="007A00DD" w:rsidRDefault="00000000">
            <w:pPr>
              <w:widowControl w:val="0"/>
              <w:jc w:val="right"/>
              <w:rPr>
                <w:sz w:val="20"/>
                <w:szCs w:val="20"/>
              </w:rPr>
            </w:pPr>
            <w:r>
              <w:rPr>
                <w:sz w:val="20"/>
                <w:szCs w:val="20"/>
              </w:rPr>
              <w:t>34.6</w:t>
            </w:r>
          </w:p>
        </w:tc>
      </w:tr>
      <w:tr w:rsidR="007A00DD" w14:paraId="225DD7A4"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9DFF4D1" w14:textId="77777777" w:rsidR="007A00DD" w:rsidRDefault="00000000">
            <w:pPr>
              <w:widowControl w:val="0"/>
              <w:rPr>
                <w:sz w:val="20"/>
                <w:szCs w:val="20"/>
              </w:rPr>
            </w:pPr>
            <w:r>
              <w:rPr>
                <w:sz w:val="20"/>
                <w:szCs w:val="20"/>
              </w:rPr>
              <w:t>S</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FBFE51E" w14:textId="77777777" w:rsidR="007A00DD" w:rsidRDefault="00000000">
            <w:pPr>
              <w:widowControl w:val="0"/>
              <w:jc w:val="right"/>
              <w:rPr>
                <w:sz w:val="20"/>
                <w:szCs w:val="20"/>
              </w:rPr>
            </w:pPr>
            <w:r>
              <w:rPr>
                <w:sz w:val="20"/>
                <w:szCs w:val="20"/>
              </w:rPr>
              <w:t>4.5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FC59F03" w14:textId="77777777" w:rsidR="007A00DD" w:rsidRDefault="00000000">
            <w:pPr>
              <w:widowControl w:val="0"/>
              <w:jc w:val="right"/>
              <w:rPr>
                <w:sz w:val="20"/>
                <w:szCs w:val="20"/>
              </w:rPr>
            </w:pPr>
            <w:r>
              <w:rPr>
                <w:sz w:val="20"/>
                <w:szCs w:val="20"/>
              </w:rPr>
              <w:t>13.3</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B7244AD" w14:textId="77777777" w:rsidR="007A00DD" w:rsidRDefault="00000000">
            <w:pPr>
              <w:widowControl w:val="0"/>
              <w:jc w:val="right"/>
              <w:rPr>
                <w:sz w:val="20"/>
                <w:szCs w:val="20"/>
              </w:rPr>
            </w:pPr>
            <w:r>
              <w:rPr>
                <w:sz w:val="20"/>
                <w:szCs w:val="20"/>
              </w:rPr>
              <w:t>15.25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9C19429" w14:textId="77777777" w:rsidR="007A00DD" w:rsidRDefault="00000000">
            <w:pPr>
              <w:widowControl w:val="0"/>
              <w:jc w:val="right"/>
              <w:rPr>
                <w:sz w:val="20"/>
                <w:szCs w:val="20"/>
              </w:rPr>
            </w:pPr>
            <w:r>
              <w:rPr>
                <w:sz w:val="20"/>
                <w:szCs w:val="20"/>
              </w:rPr>
              <w:t>5.2</w:t>
            </w:r>
          </w:p>
        </w:tc>
      </w:tr>
      <w:tr w:rsidR="007A00DD" w14:paraId="547D37C6"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52673E4" w14:textId="77777777" w:rsidR="007A00DD" w:rsidRDefault="00000000">
            <w:pPr>
              <w:widowControl w:val="0"/>
              <w:rPr>
                <w:sz w:val="20"/>
                <w:szCs w:val="20"/>
              </w:rPr>
            </w:pPr>
            <w:r>
              <w:rPr>
                <w:sz w:val="20"/>
                <w:szCs w:val="20"/>
              </w:rPr>
              <w:t>Induced</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F38A5FB" w14:textId="77777777" w:rsidR="007A00DD" w:rsidRDefault="00000000">
            <w:pPr>
              <w:widowControl w:val="0"/>
              <w:rPr>
                <w:sz w:val="20"/>
                <w:szCs w:val="20"/>
              </w:rPr>
            </w:pPr>
            <w:r>
              <w:rPr>
                <w:sz w:val="20"/>
                <w:szCs w:val="20"/>
              </w:rPr>
              <w:t>DMSO</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B4451D8" w14:textId="77777777" w:rsidR="007A00DD" w:rsidRDefault="00000000">
            <w:pPr>
              <w:widowControl w:val="0"/>
              <w:rPr>
                <w:sz w:val="20"/>
                <w:szCs w:val="20"/>
              </w:rPr>
            </w:pPr>
            <w:r>
              <w:rPr>
                <w:sz w:val="20"/>
                <w:szCs w:val="20"/>
              </w:rPr>
              <w:t>A8</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704A621" w14:textId="77777777" w:rsidR="007A00DD" w:rsidRDefault="00000000">
            <w:pPr>
              <w:widowControl w:val="0"/>
              <w:rPr>
                <w:sz w:val="20"/>
                <w:szCs w:val="20"/>
              </w:rPr>
            </w:pPr>
            <w:r>
              <w:rPr>
                <w:sz w:val="20"/>
                <w:szCs w:val="20"/>
              </w:rPr>
              <w:t>A10</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86637F4" w14:textId="77777777" w:rsidR="007A00DD" w:rsidRDefault="00000000">
            <w:pPr>
              <w:widowControl w:val="0"/>
              <w:rPr>
                <w:sz w:val="20"/>
                <w:szCs w:val="20"/>
              </w:rPr>
            </w:pPr>
            <w:r>
              <w:rPr>
                <w:sz w:val="20"/>
                <w:szCs w:val="20"/>
              </w:rPr>
              <w:t>G5</w:t>
            </w:r>
          </w:p>
        </w:tc>
      </w:tr>
      <w:tr w:rsidR="007A00DD" w14:paraId="43FB0E81"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2D1803E" w14:textId="77777777" w:rsidR="007A00DD" w:rsidRDefault="00000000">
            <w:pPr>
              <w:widowControl w:val="0"/>
              <w:rPr>
                <w:sz w:val="20"/>
                <w:szCs w:val="20"/>
              </w:rPr>
            </w:pPr>
            <w:r>
              <w:rPr>
                <w:sz w:val="20"/>
                <w:szCs w:val="20"/>
              </w:rPr>
              <w:t>G1</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A31B825" w14:textId="77777777" w:rsidR="007A00DD" w:rsidRDefault="00000000">
            <w:pPr>
              <w:widowControl w:val="0"/>
              <w:jc w:val="right"/>
              <w:rPr>
                <w:sz w:val="20"/>
                <w:szCs w:val="20"/>
              </w:rPr>
            </w:pPr>
            <w:r>
              <w:rPr>
                <w:sz w:val="20"/>
                <w:szCs w:val="20"/>
              </w:rPr>
              <w:t>84.1</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0723352" w14:textId="77777777" w:rsidR="007A00DD" w:rsidRDefault="00000000">
            <w:pPr>
              <w:widowControl w:val="0"/>
              <w:jc w:val="right"/>
              <w:rPr>
                <w:sz w:val="20"/>
                <w:szCs w:val="20"/>
              </w:rPr>
            </w:pPr>
            <w:r>
              <w:rPr>
                <w:sz w:val="20"/>
                <w:szCs w:val="20"/>
              </w:rPr>
              <w:t>76.35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8277607" w14:textId="77777777" w:rsidR="007A00DD" w:rsidRDefault="00000000">
            <w:pPr>
              <w:widowControl w:val="0"/>
              <w:jc w:val="right"/>
              <w:rPr>
                <w:sz w:val="20"/>
                <w:szCs w:val="20"/>
              </w:rPr>
            </w:pPr>
            <w:r>
              <w:rPr>
                <w:sz w:val="20"/>
                <w:szCs w:val="20"/>
              </w:rPr>
              <w:t>77.4</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CE7CEF2" w14:textId="77777777" w:rsidR="007A00DD" w:rsidRDefault="00000000">
            <w:pPr>
              <w:widowControl w:val="0"/>
              <w:jc w:val="right"/>
              <w:rPr>
                <w:sz w:val="20"/>
                <w:szCs w:val="20"/>
              </w:rPr>
            </w:pPr>
            <w:r>
              <w:rPr>
                <w:sz w:val="20"/>
                <w:szCs w:val="20"/>
              </w:rPr>
              <w:t>81.25</w:t>
            </w:r>
          </w:p>
        </w:tc>
      </w:tr>
      <w:tr w:rsidR="007A00DD" w14:paraId="48969D3C"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168369E" w14:textId="77777777" w:rsidR="007A00DD" w:rsidRDefault="00000000">
            <w:pPr>
              <w:widowControl w:val="0"/>
              <w:rPr>
                <w:sz w:val="20"/>
                <w:szCs w:val="20"/>
              </w:rPr>
            </w:pPr>
            <w:r>
              <w:rPr>
                <w:sz w:val="20"/>
                <w:szCs w:val="20"/>
              </w:rPr>
              <w:t>G2</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6041760" w14:textId="77777777" w:rsidR="007A00DD" w:rsidRDefault="00000000">
            <w:pPr>
              <w:widowControl w:val="0"/>
              <w:jc w:val="right"/>
              <w:rPr>
                <w:sz w:val="20"/>
                <w:szCs w:val="20"/>
              </w:rPr>
            </w:pPr>
            <w:r>
              <w:rPr>
                <w:sz w:val="20"/>
                <w:szCs w:val="20"/>
              </w:rPr>
              <w:t>6.2</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6019EC2" w14:textId="77777777" w:rsidR="007A00DD" w:rsidRDefault="00000000">
            <w:pPr>
              <w:widowControl w:val="0"/>
              <w:jc w:val="right"/>
              <w:rPr>
                <w:sz w:val="20"/>
                <w:szCs w:val="20"/>
              </w:rPr>
            </w:pPr>
            <w:r>
              <w:rPr>
                <w:sz w:val="20"/>
                <w:szCs w:val="20"/>
              </w:rPr>
              <w:t>12.4</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7344CFF" w14:textId="77777777" w:rsidR="007A00DD" w:rsidRDefault="00000000">
            <w:pPr>
              <w:widowControl w:val="0"/>
              <w:jc w:val="right"/>
              <w:rPr>
                <w:sz w:val="20"/>
                <w:szCs w:val="20"/>
              </w:rPr>
            </w:pPr>
            <w:r>
              <w:rPr>
                <w:sz w:val="20"/>
                <w:szCs w:val="20"/>
              </w:rPr>
              <w:t>10.9</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C7AA848" w14:textId="77777777" w:rsidR="007A00DD" w:rsidRDefault="00000000">
            <w:pPr>
              <w:widowControl w:val="0"/>
              <w:jc w:val="right"/>
              <w:rPr>
                <w:sz w:val="20"/>
                <w:szCs w:val="20"/>
              </w:rPr>
            </w:pPr>
            <w:r>
              <w:rPr>
                <w:sz w:val="20"/>
                <w:szCs w:val="20"/>
              </w:rPr>
              <w:t>11.3</w:t>
            </w:r>
          </w:p>
        </w:tc>
      </w:tr>
      <w:tr w:rsidR="007A00DD" w14:paraId="0A3E9E05" w14:textId="77777777">
        <w:trPr>
          <w:trHeight w:val="315"/>
        </w:trPr>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51AE0C9" w14:textId="77777777" w:rsidR="007A00DD" w:rsidRDefault="00000000">
            <w:pPr>
              <w:widowControl w:val="0"/>
              <w:rPr>
                <w:sz w:val="20"/>
                <w:szCs w:val="20"/>
              </w:rPr>
            </w:pPr>
            <w:r>
              <w:rPr>
                <w:sz w:val="20"/>
                <w:szCs w:val="20"/>
              </w:rPr>
              <w:t>S</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32E5EA2" w14:textId="77777777" w:rsidR="007A00DD" w:rsidRDefault="00000000">
            <w:pPr>
              <w:widowControl w:val="0"/>
              <w:jc w:val="right"/>
              <w:rPr>
                <w:sz w:val="20"/>
                <w:szCs w:val="20"/>
              </w:rPr>
            </w:pPr>
            <w:r>
              <w:rPr>
                <w:sz w:val="20"/>
                <w:szCs w:val="20"/>
              </w:rPr>
              <w:t>1.1</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4F117A3" w14:textId="77777777" w:rsidR="007A00DD" w:rsidRDefault="00000000">
            <w:pPr>
              <w:widowControl w:val="0"/>
              <w:jc w:val="right"/>
              <w:rPr>
                <w:sz w:val="20"/>
                <w:szCs w:val="20"/>
              </w:rPr>
            </w:pPr>
            <w:r>
              <w:rPr>
                <w:sz w:val="20"/>
                <w:szCs w:val="20"/>
              </w:rPr>
              <w:t>5</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0249731" w14:textId="77777777" w:rsidR="007A00DD" w:rsidRDefault="00000000">
            <w:pPr>
              <w:widowControl w:val="0"/>
              <w:jc w:val="right"/>
              <w:rPr>
                <w:sz w:val="20"/>
                <w:szCs w:val="20"/>
              </w:rPr>
            </w:pPr>
            <w:r>
              <w:rPr>
                <w:sz w:val="20"/>
                <w:szCs w:val="20"/>
              </w:rPr>
              <w:t>6</w:t>
            </w:r>
          </w:p>
        </w:tc>
        <w:tc>
          <w:tcPr>
            <w:tcW w:w="171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6C90E84" w14:textId="77777777" w:rsidR="007A00DD" w:rsidRDefault="00000000">
            <w:pPr>
              <w:widowControl w:val="0"/>
              <w:jc w:val="right"/>
              <w:rPr>
                <w:sz w:val="20"/>
                <w:szCs w:val="20"/>
              </w:rPr>
            </w:pPr>
            <w:r>
              <w:rPr>
                <w:sz w:val="20"/>
                <w:szCs w:val="20"/>
              </w:rPr>
              <w:t>4.45</w:t>
            </w:r>
          </w:p>
        </w:tc>
      </w:tr>
    </w:tbl>
    <w:p w14:paraId="1F40E4E9"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3. Average values of flow cytometric data.</w:t>
      </w:r>
    </w:p>
    <w:p w14:paraId="179A6FE0"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Figure 3 shows that induction of Zeb1 in MCF-7 cells using 0.5 µg/ml doxycycline significantly alters the cell cycle. Zeb1 expression in the DMSO control group resulted in a cell accumulation in the G1 phase. It increased from 66.05% to 84.10%. This was accompanied by a severe depletion of the S-phase population, which dropped from 4.50% to 1.10%.</w:t>
      </w:r>
    </w:p>
    <w:p w14:paraId="1AC2A4D1"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Inhibitor effects on non-induced cells</w:t>
      </w:r>
    </w:p>
    <w:p w14:paraId="3839A17F"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Inhibitors </w:t>
      </w:r>
      <w:proofErr w:type="spellStart"/>
      <w:r>
        <w:rPr>
          <w:rFonts w:ascii="Times New Roman" w:eastAsia="Times New Roman" w:hAnsi="Times New Roman" w:cs="Times New Roman"/>
          <w:color w:val="0E101A"/>
          <w:sz w:val="24"/>
          <w:szCs w:val="24"/>
        </w:rPr>
        <w:t>fenretinide</w:t>
      </w:r>
      <w:proofErr w:type="spellEnd"/>
      <w:r>
        <w:rPr>
          <w:rFonts w:ascii="Times New Roman" w:eastAsia="Times New Roman" w:hAnsi="Times New Roman" w:cs="Times New Roman"/>
          <w:color w:val="0E101A"/>
          <w:sz w:val="24"/>
          <w:szCs w:val="24"/>
        </w:rPr>
        <w:t xml:space="preserve"> (formerly A8), </w:t>
      </w:r>
      <w:proofErr w:type="spellStart"/>
      <w:r>
        <w:rPr>
          <w:rFonts w:ascii="Times New Roman" w:eastAsia="Times New Roman" w:hAnsi="Times New Roman" w:cs="Times New Roman"/>
          <w:color w:val="0E101A"/>
          <w:sz w:val="24"/>
          <w:szCs w:val="24"/>
        </w:rPr>
        <w:t>midostaurin</w:t>
      </w:r>
      <w:proofErr w:type="spellEnd"/>
      <w:r>
        <w:rPr>
          <w:rFonts w:ascii="Times New Roman" w:eastAsia="Times New Roman" w:hAnsi="Times New Roman" w:cs="Times New Roman"/>
          <w:color w:val="0E101A"/>
          <w:sz w:val="24"/>
          <w:szCs w:val="24"/>
        </w:rPr>
        <w:t xml:space="preserve"> (formerly A10), and auranofin (formerly G5) failed to revert the cells to an epithelial state. In the non-induced 0 h control group, </w:t>
      </w:r>
      <w:proofErr w:type="spellStart"/>
      <w:r>
        <w:rPr>
          <w:rFonts w:ascii="Times New Roman" w:eastAsia="Times New Roman" w:hAnsi="Times New Roman" w:cs="Times New Roman"/>
          <w:color w:val="0E101A"/>
          <w:sz w:val="24"/>
          <w:szCs w:val="24"/>
        </w:rPr>
        <w:t>fenretinide</w:t>
      </w:r>
      <w:proofErr w:type="spellEnd"/>
      <w:r>
        <w:rPr>
          <w:rFonts w:ascii="Times New Roman" w:eastAsia="Times New Roman" w:hAnsi="Times New Roman" w:cs="Times New Roman"/>
          <w:color w:val="0E101A"/>
          <w:sz w:val="24"/>
          <w:szCs w:val="24"/>
        </w:rPr>
        <w:t xml:space="preserve"> and </w:t>
      </w:r>
      <w:proofErr w:type="spellStart"/>
      <w:r>
        <w:rPr>
          <w:rFonts w:ascii="Times New Roman" w:eastAsia="Times New Roman" w:hAnsi="Times New Roman" w:cs="Times New Roman"/>
          <w:color w:val="0E101A"/>
          <w:sz w:val="24"/>
          <w:szCs w:val="24"/>
        </w:rPr>
        <w:t>midostaurin</w:t>
      </w:r>
      <w:proofErr w:type="spellEnd"/>
      <w:r>
        <w:rPr>
          <w:rFonts w:ascii="Times New Roman" w:eastAsia="Times New Roman" w:hAnsi="Times New Roman" w:cs="Times New Roman"/>
          <w:color w:val="0E101A"/>
          <w:sz w:val="24"/>
          <w:szCs w:val="24"/>
        </w:rPr>
        <w:t xml:space="preserve"> tripled the S-phase population, while auranofin induced a severe G2/M-phase arrest (34.60%). Zeb1-induced population exhibited marked resistance to these disruptions. </w:t>
      </w:r>
      <w:proofErr w:type="spellStart"/>
      <w:r>
        <w:rPr>
          <w:rFonts w:ascii="Times New Roman" w:eastAsia="Times New Roman" w:hAnsi="Times New Roman" w:cs="Times New Roman"/>
          <w:color w:val="0E101A"/>
          <w:sz w:val="24"/>
          <w:szCs w:val="24"/>
        </w:rPr>
        <w:t>Midostaurin</w:t>
      </w:r>
      <w:proofErr w:type="spellEnd"/>
      <w:r>
        <w:rPr>
          <w:rFonts w:ascii="Times New Roman" w:eastAsia="Times New Roman" w:hAnsi="Times New Roman" w:cs="Times New Roman"/>
          <w:color w:val="0E101A"/>
          <w:sz w:val="24"/>
          <w:szCs w:val="24"/>
        </w:rPr>
        <w:t xml:space="preserve"> increased the S-phase by 10.75% in non-induced cells, but only by 4.9% in induced cells.</w:t>
      </w:r>
    </w:p>
    <w:p w14:paraId="15F54820"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Inhibitor effects on induced cells</w:t>
      </w:r>
    </w:p>
    <w:p w14:paraId="7DDCB5EF"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Treatment with </w:t>
      </w:r>
      <w:proofErr w:type="spellStart"/>
      <w:r>
        <w:rPr>
          <w:rFonts w:ascii="Times New Roman" w:eastAsia="Times New Roman" w:hAnsi="Times New Roman" w:cs="Times New Roman"/>
          <w:color w:val="0E101A"/>
          <w:sz w:val="24"/>
          <w:szCs w:val="24"/>
        </w:rPr>
        <w:t>fenretinide</w:t>
      </w:r>
      <w:proofErr w:type="spellEnd"/>
      <w:r>
        <w:rPr>
          <w:rFonts w:ascii="Times New Roman" w:eastAsia="Times New Roman" w:hAnsi="Times New Roman" w:cs="Times New Roman"/>
          <w:color w:val="0E101A"/>
          <w:sz w:val="24"/>
          <w:szCs w:val="24"/>
        </w:rPr>
        <w:t xml:space="preserve">, </w:t>
      </w:r>
      <w:proofErr w:type="spellStart"/>
      <w:r>
        <w:rPr>
          <w:rFonts w:ascii="Times New Roman" w:eastAsia="Times New Roman" w:hAnsi="Times New Roman" w:cs="Times New Roman"/>
          <w:color w:val="0E101A"/>
          <w:sz w:val="24"/>
          <w:szCs w:val="24"/>
        </w:rPr>
        <w:t>midostaurin</w:t>
      </w:r>
      <w:proofErr w:type="spellEnd"/>
      <w:r>
        <w:rPr>
          <w:rFonts w:ascii="Times New Roman" w:eastAsia="Times New Roman" w:hAnsi="Times New Roman" w:cs="Times New Roman"/>
          <w:color w:val="0E101A"/>
          <w:sz w:val="24"/>
          <w:szCs w:val="24"/>
        </w:rPr>
        <w:t>, and auranofin resulted in a slight reduction in G1-phase accumulation compared to the induced DMSO control. The G1 population decreased from 84.10% to a range of 76.35% (</w:t>
      </w:r>
      <w:proofErr w:type="spellStart"/>
      <w:r>
        <w:rPr>
          <w:rFonts w:ascii="Times New Roman" w:eastAsia="Times New Roman" w:hAnsi="Times New Roman" w:cs="Times New Roman"/>
          <w:color w:val="0E101A"/>
          <w:sz w:val="24"/>
          <w:szCs w:val="24"/>
        </w:rPr>
        <w:t>fenretinide</w:t>
      </w:r>
      <w:proofErr w:type="spellEnd"/>
      <w:r>
        <w:rPr>
          <w:rFonts w:ascii="Times New Roman" w:eastAsia="Times New Roman" w:hAnsi="Times New Roman" w:cs="Times New Roman"/>
          <w:color w:val="0E101A"/>
          <w:sz w:val="24"/>
          <w:szCs w:val="24"/>
        </w:rPr>
        <w:t>) to 81.25% (auranofin). However, these cells did not exhibit the baseline distribution. Instead, they showed concurrent increases in the G2 and S-phase populations.</w:t>
      </w:r>
    </w:p>
    <w:p w14:paraId="173C8883" w14:textId="77777777" w:rsidR="007A00DD" w:rsidRDefault="007A00DD">
      <w:pPr>
        <w:spacing w:before="240" w:after="240" w:line="480" w:lineRule="auto"/>
        <w:rPr>
          <w:rFonts w:ascii="Times New Roman" w:eastAsia="Times New Roman" w:hAnsi="Times New Roman" w:cs="Times New Roman"/>
          <w:sz w:val="24"/>
          <w:szCs w:val="24"/>
        </w:rPr>
      </w:pPr>
    </w:p>
    <w:p w14:paraId="084DD8A5"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28A359F9" wp14:editId="1DBF6F90">
            <wp:extent cx="5943600" cy="3670300"/>
            <wp:effectExtent l="0" t="0" r="0" b="0"/>
            <wp:docPr id="7"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11"/>
                    <a:srcRect/>
                    <a:stretch>
                      <a:fillRect/>
                    </a:stretch>
                  </pic:blipFill>
                  <pic:spPr>
                    <a:xfrm>
                      <a:off x="0" y="0"/>
                      <a:ext cx="5943600" cy="3670300"/>
                    </a:xfrm>
                    <a:prstGeom prst="rect">
                      <a:avLst/>
                    </a:prstGeom>
                    <a:ln/>
                  </pic:spPr>
                </pic:pic>
              </a:graphicData>
            </a:graphic>
          </wp:inline>
        </w:drawing>
      </w:r>
    </w:p>
    <w:p w14:paraId="2D7CD742" w14:textId="77777777" w:rsidR="007A00DD"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 Histogram of the cell cycle profile for the non-induced and induced groups.</w:t>
      </w:r>
    </w:p>
    <w:p w14:paraId="295AC3FD"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Discussion</w:t>
      </w:r>
    </w:p>
    <w:p w14:paraId="1A1D7F8E" w14:textId="77777777" w:rsidR="007A00DD" w:rsidRDefault="00000000">
      <w:p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color w:val="0E101A"/>
          <w:sz w:val="24"/>
          <w:szCs w:val="24"/>
        </w:rPr>
        <w:t xml:space="preserve">The induction of Epithelial-Mesenchymal Transition (EMT) is a critical mechanism driving metastasis and therapeutic resistance in breast cancer. We used a Tetracycline-inducible Zeb1-negative MCF-7 model to simulate Zeb1-driven EMT to evaluate the efficacy of candidate small-molecule inhibitors. </w:t>
      </w:r>
    </w:p>
    <w:p w14:paraId="78B3185D"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Validation of the Zeb1-driven EMT model</w:t>
      </w:r>
      <w:r>
        <w:rPr>
          <w:rFonts w:ascii="Times New Roman" w:eastAsia="Times New Roman" w:hAnsi="Times New Roman" w:cs="Times New Roman"/>
          <w:color w:val="0E101A"/>
          <w:sz w:val="24"/>
          <w:szCs w:val="24"/>
        </w:rPr>
        <w:t xml:space="preserve"> </w:t>
      </w:r>
    </w:p>
    <w:p w14:paraId="09BAA751"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Our Western blot analysis confirmed the functionality of our model: doxycycline treatment induces Zeb1 expression, leading to E-cadherin repression. At baseline 0h Zeb1 is absent, whereas at 72h Zeb1 exhibits the highest concentration (normalized 1.58, Table 1). On the contrary, at 72h, E-cadherin expression was at the lowest (normalized 0.46, Table 1). The inverse correlation aligns with seminal findings that Zeb1 functions as a transcriptional repressor of E-cadherin by binding </w:t>
      </w:r>
      <w:r>
        <w:rPr>
          <w:rFonts w:ascii="Times New Roman" w:eastAsia="Times New Roman" w:hAnsi="Times New Roman" w:cs="Times New Roman"/>
          <w:color w:val="0E101A"/>
          <w:sz w:val="24"/>
          <w:szCs w:val="24"/>
        </w:rPr>
        <w:lastRenderedPageBreak/>
        <w:t xml:space="preserve">to E-box sequences in the </w:t>
      </w:r>
      <w:r>
        <w:rPr>
          <w:rFonts w:ascii="Times New Roman" w:eastAsia="Times New Roman" w:hAnsi="Times New Roman" w:cs="Times New Roman"/>
          <w:i/>
          <w:iCs/>
          <w:color w:val="0E101A"/>
          <w:sz w:val="24"/>
          <w:szCs w:val="24"/>
        </w:rPr>
        <w:t>CDH1</w:t>
      </w:r>
      <w:r>
        <w:rPr>
          <w:rFonts w:ascii="Times New Roman" w:eastAsia="Times New Roman" w:hAnsi="Times New Roman" w:cs="Times New Roman"/>
          <w:color w:val="0E101A"/>
          <w:sz w:val="24"/>
          <w:szCs w:val="24"/>
        </w:rPr>
        <w:t xml:space="preserve"> (E-cadherin) promoter (Eger et al., 2005). The loss of E-cadherin is a hallmark of EMT, which leads to the disassembly of </w:t>
      </w:r>
      <w:proofErr w:type="spellStart"/>
      <w:r>
        <w:rPr>
          <w:rFonts w:ascii="Times New Roman" w:eastAsia="Times New Roman" w:hAnsi="Times New Roman" w:cs="Times New Roman"/>
          <w:color w:val="0E101A"/>
          <w:sz w:val="24"/>
          <w:szCs w:val="24"/>
        </w:rPr>
        <w:t>adherens</w:t>
      </w:r>
      <w:proofErr w:type="spellEnd"/>
      <w:r>
        <w:rPr>
          <w:rFonts w:ascii="Times New Roman" w:eastAsia="Times New Roman" w:hAnsi="Times New Roman" w:cs="Times New Roman"/>
          <w:color w:val="0E101A"/>
          <w:sz w:val="24"/>
          <w:szCs w:val="24"/>
        </w:rPr>
        <w:t xml:space="preserve"> junctions and increased migratory potential. The successful recapitulation of this molecular switch confirms that the MCF-7 Tet-on system is a working model for studying EMT kinetics and serves as a valid platform for screening anti-metastatic compounds (Mock et al., 2015). There is a slight recovery of E-cadherin at 96h (normalized to 1.00, Table 1), with a corresponding decrease in Zeb1 (normalized to 1.20, Table 1). This finding can be explained by cell </w:t>
      </w:r>
      <w:proofErr w:type="spellStart"/>
      <w:r>
        <w:rPr>
          <w:rFonts w:ascii="Times New Roman" w:eastAsia="Times New Roman" w:hAnsi="Times New Roman" w:cs="Times New Roman"/>
          <w:color w:val="0E101A"/>
          <w:sz w:val="24"/>
          <w:szCs w:val="24"/>
        </w:rPr>
        <w:t>overconfluence</w:t>
      </w:r>
      <w:proofErr w:type="spellEnd"/>
      <w:r>
        <w:rPr>
          <w:rFonts w:ascii="Times New Roman" w:eastAsia="Times New Roman" w:hAnsi="Times New Roman" w:cs="Times New Roman"/>
          <w:color w:val="0E101A"/>
          <w:sz w:val="24"/>
          <w:szCs w:val="24"/>
        </w:rPr>
        <w:t xml:space="preserve"> or a phenomenon called partial EMT. Partial EMT is a hallmark of circulating tumor cell clusters (CTC clusters). A CTC cluster is a group of tumor cells that maintains E-cadherin expression to maintain </w:t>
      </w:r>
      <w:proofErr w:type="spellStart"/>
      <w:r>
        <w:rPr>
          <w:rFonts w:ascii="Times New Roman" w:eastAsia="Times New Roman" w:hAnsi="Times New Roman" w:cs="Times New Roman"/>
          <w:color w:val="0E101A"/>
          <w:sz w:val="24"/>
          <w:szCs w:val="24"/>
        </w:rPr>
        <w:t>adherens</w:t>
      </w:r>
      <w:proofErr w:type="spellEnd"/>
      <w:r>
        <w:rPr>
          <w:rFonts w:ascii="Times New Roman" w:eastAsia="Times New Roman" w:hAnsi="Times New Roman" w:cs="Times New Roman"/>
          <w:color w:val="0E101A"/>
          <w:sz w:val="24"/>
          <w:szCs w:val="24"/>
        </w:rPr>
        <w:t xml:space="preserve"> junctions and survive as a multicellular unit. At the same time, the cells express Zeb1 to employ migratory plasticity (Chen et al., 2022). A partial EMT phenotype is of great significance, as it confers tumor cells with the highest level of chemoresistance and metastatic potential (Caruso et al., 2024).</w:t>
      </w:r>
    </w:p>
    <w:p w14:paraId="58B187E5"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Proliferation-migration dichotomy</w:t>
      </w:r>
    </w:p>
    <w:p w14:paraId="2DB7423F"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flow cytometry results demonstrate a sharp increase in the G1 population (66.05% to 84.10%). This finding indicates a robust G1 cell cycle arrest. It is a characteristic of the "proliferation-migration dichotomy" in cancer cells. As Zeb1 induces EMT, cells exit the active cell cycle (S-phase) to conserve energy for structural remodeling and invasive behaviors necessary for metastasis (</w:t>
      </w:r>
      <w:proofErr w:type="spellStart"/>
      <w:r>
        <w:rPr>
          <w:rFonts w:ascii="Times New Roman" w:eastAsia="Times New Roman" w:hAnsi="Times New Roman" w:cs="Times New Roman"/>
          <w:color w:val="0E101A"/>
          <w:sz w:val="24"/>
          <w:szCs w:val="24"/>
        </w:rPr>
        <w:t>Alfahed</w:t>
      </w:r>
      <w:proofErr w:type="spellEnd"/>
      <w:r>
        <w:rPr>
          <w:rFonts w:ascii="Times New Roman" w:eastAsia="Times New Roman" w:hAnsi="Times New Roman" w:cs="Times New Roman"/>
          <w:color w:val="0E101A"/>
          <w:sz w:val="24"/>
          <w:szCs w:val="24"/>
        </w:rPr>
        <w:t xml:space="preserve"> A., 2024).</w:t>
      </w:r>
    </w:p>
    <w:p w14:paraId="6A752D7F"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Cell cycle and cytotoxic drug action</w:t>
      </w:r>
    </w:p>
    <w:p w14:paraId="2C5F4D56"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Normal cell cycle. In proliferating epithelial cells, the cycle progresses through four distinct phases controlled by cyclins and cyclin-dependent kinases (CDKs) (Visconti et al., 2016). </w:t>
      </w:r>
    </w:p>
    <w:p w14:paraId="5F269ACE" w14:textId="77777777" w:rsidR="007A00DD" w:rsidRDefault="00000000">
      <w:pPr>
        <w:numPr>
          <w:ilvl w:val="0"/>
          <w:numId w:val="5"/>
        </w:num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G1 Phase: The cell grows and prepares the necessary proteins for DNA replication.</w:t>
      </w:r>
    </w:p>
    <w:p w14:paraId="670DC460" w14:textId="77777777" w:rsidR="007A00DD" w:rsidRDefault="00000000">
      <w:pPr>
        <w:numPr>
          <w:ilvl w:val="0"/>
          <w:numId w:val="5"/>
        </w:num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 Phase (Synthesis): The cell replicates its entire genome.</w:t>
      </w:r>
    </w:p>
    <w:p w14:paraId="1633742A" w14:textId="77777777" w:rsidR="007A00DD" w:rsidRDefault="00000000">
      <w:pPr>
        <w:numPr>
          <w:ilvl w:val="0"/>
          <w:numId w:val="5"/>
        </w:num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G2 Phase: The cell undergoes a final growth spurt and a critical DNA damage checkpoint before division.</w:t>
      </w:r>
    </w:p>
    <w:p w14:paraId="4EFC2834" w14:textId="77777777" w:rsidR="007A00DD" w:rsidRDefault="00000000">
      <w:pPr>
        <w:numPr>
          <w:ilvl w:val="0"/>
          <w:numId w:val="5"/>
        </w:num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M Phase (Mitosis): The cell divides into two daughter cells.</w:t>
      </w:r>
    </w:p>
    <w:p w14:paraId="3A9F2E87" w14:textId="77777777" w:rsidR="007A00DD" w:rsidRDefault="00000000">
      <w:pPr>
        <w:spacing w:before="240" w:after="24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Cytotoxic Drug Action. Most conventional chemotherapies and small-molecule inhibitors are "cytotoxic". They target vulnerabilities in rapidly dividing cells (Anand U., 2022).</w:t>
      </w:r>
    </w:p>
    <w:p w14:paraId="07C8D081" w14:textId="77777777" w:rsidR="007A00DD" w:rsidRDefault="00000000">
      <w:pPr>
        <w:numPr>
          <w:ilvl w:val="0"/>
          <w:numId w:val="4"/>
        </w:numPr>
        <w:spacing w:before="24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When a drug interferes with DNA synthesis (e.g., antimetabolites), cells become trapped in the S-phase, unable to finish replicating (</w:t>
      </w:r>
      <w:proofErr w:type="spellStart"/>
      <w:r>
        <w:rPr>
          <w:rFonts w:ascii="Times New Roman" w:eastAsia="Times New Roman" w:hAnsi="Times New Roman" w:cs="Times New Roman"/>
          <w:color w:val="0E101A"/>
          <w:sz w:val="24"/>
          <w:szCs w:val="24"/>
        </w:rPr>
        <w:t>Helleday</w:t>
      </w:r>
      <w:proofErr w:type="spellEnd"/>
      <w:r>
        <w:rPr>
          <w:rFonts w:ascii="Times New Roman" w:eastAsia="Times New Roman" w:hAnsi="Times New Roman" w:cs="Times New Roman"/>
          <w:color w:val="0E101A"/>
          <w:sz w:val="24"/>
          <w:szCs w:val="24"/>
        </w:rPr>
        <w:t xml:space="preserve"> et al., 2008).</w:t>
      </w:r>
    </w:p>
    <w:p w14:paraId="3DF3A813" w14:textId="77777777" w:rsidR="007A00DD" w:rsidRDefault="00000000">
      <w:pPr>
        <w:numPr>
          <w:ilvl w:val="0"/>
          <w:numId w:val="4"/>
        </w:num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When a drug damages the mitotic spindle or causes severe DNA damage, the cells are arrested at the G2/M checkpoint to prevent the division of a mutated cell (Yam et al., 2022).</w:t>
      </w:r>
    </w:p>
    <w:p w14:paraId="4783B81E" w14:textId="77777777" w:rsidR="007A00DD" w:rsidRDefault="00000000">
      <w:pPr>
        <w:numPr>
          <w:ilvl w:val="0"/>
          <w:numId w:val="4"/>
        </w:numPr>
        <w:spacing w:after="24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If the damage is too severe, the cell undergoes apoptosis, which appears in flow cytometry as a fragmented Sub-G1 population (Costigan et al., 2023).</w:t>
      </w:r>
    </w:p>
    <w:p w14:paraId="233B4139"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Analysis of inhibitors activity</w:t>
      </w:r>
    </w:p>
    <w:p w14:paraId="3341F7E2"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Analysis of the results of non-induced groups revealed off-target effects. The compounds severely disrupted specific checkpoints, rather than maintaining a normal epithelial cell cycle. The drugs act as generalized cytotoxic agents.</w:t>
      </w:r>
    </w:p>
    <w:p w14:paraId="04CF5A38"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We primarily analyzed the non-induced group to understand the inhibitors’ effect on cell cycle of MCF-7 cells. Because Zeb1 causes massive G1 cell cycle arrest (84.1%), which can blunt the cycle-dependent effect of the inhibitors.</w:t>
      </w:r>
    </w:p>
    <w:p w14:paraId="21C4C3E7" w14:textId="77777777" w:rsidR="007A00DD" w:rsidRDefault="00000000">
      <w:pPr>
        <w:numPr>
          <w:ilvl w:val="0"/>
          <w:numId w:val="1"/>
        </w:numPr>
        <w:spacing w:line="480" w:lineRule="auto"/>
        <w:jc w:val="both"/>
        <w:rPr>
          <w:rFonts w:ascii="Times New Roman" w:eastAsia="Times New Roman" w:hAnsi="Times New Roman" w:cs="Times New Roman"/>
          <w:color w:val="0E101A"/>
          <w:sz w:val="24"/>
          <w:szCs w:val="24"/>
        </w:rPr>
      </w:pPr>
      <w:proofErr w:type="spellStart"/>
      <w:r>
        <w:rPr>
          <w:rFonts w:ascii="Times New Roman" w:eastAsia="Times New Roman" w:hAnsi="Times New Roman" w:cs="Times New Roman"/>
          <w:color w:val="0E101A"/>
          <w:sz w:val="24"/>
          <w:szCs w:val="24"/>
        </w:rPr>
        <w:t>Fenretinide</w:t>
      </w:r>
      <w:proofErr w:type="spellEnd"/>
      <w:r>
        <w:rPr>
          <w:rFonts w:ascii="Times New Roman" w:eastAsia="Times New Roman" w:hAnsi="Times New Roman" w:cs="Times New Roman"/>
          <w:color w:val="0E101A"/>
          <w:sz w:val="24"/>
          <w:szCs w:val="24"/>
        </w:rPr>
        <w:t>(A8) causes an S-phase arrest. S-phase triples from 4.5% to 13.3%. Also, it is accompanied by a drop in G1. This indicates that the cells are entering the DNA synthesis phase but are stalling out, unable to complete replication.</w:t>
      </w:r>
    </w:p>
    <w:p w14:paraId="149C392E" w14:textId="77777777" w:rsidR="007A00DD" w:rsidRDefault="00000000">
      <w:pPr>
        <w:numPr>
          <w:ilvl w:val="0"/>
          <w:numId w:val="1"/>
        </w:numPr>
        <w:spacing w:line="480" w:lineRule="auto"/>
        <w:jc w:val="both"/>
        <w:rPr>
          <w:rFonts w:ascii="Times New Roman" w:eastAsia="Times New Roman" w:hAnsi="Times New Roman" w:cs="Times New Roman"/>
          <w:color w:val="0E101A"/>
          <w:sz w:val="24"/>
          <w:szCs w:val="24"/>
        </w:rPr>
      </w:pPr>
      <w:proofErr w:type="spellStart"/>
      <w:r>
        <w:rPr>
          <w:rFonts w:ascii="Times New Roman" w:eastAsia="Times New Roman" w:hAnsi="Times New Roman" w:cs="Times New Roman"/>
          <w:color w:val="0E101A"/>
          <w:sz w:val="24"/>
          <w:szCs w:val="24"/>
        </w:rPr>
        <w:lastRenderedPageBreak/>
        <w:t>Midostaurin</w:t>
      </w:r>
      <w:proofErr w:type="spellEnd"/>
      <w:r>
        <w:rPr>
          <w:rFonts w:ascii="Times New Roman" w:eastAsia="Times New Roman" w:hAnsi="Times New Roman" w:cs="Times New Roman"/>
          <w:color w:val="0E101A"/>
          <w:sz w:val="24"/>
          <w:szCs w:val="24"/>
        </w:rPr>
        <w:t xml:space="preserve"> (A10) causes accumulation in S- and G2-phases. This drug severely depletes the G1 phase (dropping it to 47.35%), pushing the cells into the later stages of the cycle. The S-phase more than triples (to 15.25%), and the G2-phase increases (to 29.7%). This suggests widespread replication stress and failure to progress into mitosis.</w:t>
      </w:r>
    </w:p>
    <w:p w14:paraId="484A5F65" w14:textId="77777777" w:rsidR="007A00DD" w:rsidRDefault="00000000">
      <w:pPr>
        <w:numPr>
          <w:ilvl w:val="0"/>
          <w:numId w:val="1"/>
        </w:num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Auranofin(G5) causes a profound G2/M-phase arrest. While the S-phase remains relatively normal (5.2%), the G2 population jumps dramatically from 23.8% to 34.6%. This is a classic hallmark of a drug that triggers the G2/M DNA damage checkpoint, preventing cells from dividing.</w:t>
      </w:r>
    </w:p>
    <w:p w14:paraId="683A7CAE"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color w:val="0E101A"/>
          <w:sz w:val="24"/>
          <w:szCs w:val="24"/>
        </w:rPr>
        <w:t>Short review of the drugs in the global literature in Table 4.</w:t>
      </w:r>
    </w:p>
    <w:tbl>
      <w:tblPr>
        <w:tblStyle w:val="a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11"/>
        <w:gridCol w:w="2486"/>
        <w:gridCol w:w="2728"/>
        <w:gridCol w:w="2935"/>
      </w:tblGrid>
      <w:tr w:rsidR="007A00DD" w14:paraId="486DF777" w14:textId="77777777">
        <w:trPr>
          <w:trHeight w:val="525"/>
        </w:trPr>
        <w:tc>
          <w:tcPr>
            <w:tcW w:w="121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6CE1AFF" w14:textId="77777777" w:rsidR="007A00DD" w:rsidRDefault="00000000">
            <w:pPr>
              <w:widowControl w:val="0"/>
              <w:rPr>
                <w:sz w:val="20"/>
                <w:szCs w:val="20"/>
              </w:rPr>
            </w:pPr>
            <w:r>
              <w:rPr>
                <w:sz w:val="20"/>
                <w:szCs w:val="20"/>
              </w:rPr>
              <w:t>Compound</w:t>
            </w:r>
          </w:p>
        </w:tc>
        <w:tc>
          <w:tcPr>
            <w:tcW w:w="24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BEE5ECF" w14:textId="77777777" w:rsidR="007A00DD" w:rsidRDefault="00000000">
            <w:pPr>
              <w:widowControl w:val="0"/>
              <w:rPr>
                <w:sz w:val="20"/>
                <w:szCs w:val="20"/>
              </w:rPr>
            </w:pPr>
            <w:r>
              <w:rPr>
                <w:sz w:val="20"/>
                <w:szCs w:val="20"/>
              </w:rPr>
              <w:t>Mechanism of Action</w:t>
            </w:r>
          </w:p>
        </w:tc>
        <w:tc>
          <w:tcPr>
            <w:tcW w:w="272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2B8118E" w14:textId="77777777" w:rsidR="007A00DD" w:rsidRDefault="00000000">
            <w:pPr>
              <w:widowControl w:val="0"/>
              <w:rPr>
                <w:sz w:val="20"/>
                <w:szCs w:val="20"/>
              </w:rPr>
            </w:pPr>
            <w:r>
              <w:rPr>
                <w:sz w:val="20"/>
                <w:szCs w:val="20"/>
              </w:rPr>
              <w:t>Cell Cycle Effects &amp; Arrests</w:t>
            </w:r>
          </w:p>
        </w:tc>
        <w:tc>
          <w:tcPr>
            <w:tcW w:w="293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A862CB5" w14:textId="77777777" w:rsidR="007A00DD" w:rsidRDefault="00000000">
            <w:pPr>
              <w:widowControl w:val="0"/>
              <w:rPr>
                <w:sz w:val="20"/>
                <w:szCs w:val="20"/>
              </w:rPr>
            </w:pPr>
            <w:r>
              <w:rPr>
                <w:sz w:val="20"/>
                <w:szCs w:val="20"/>
              </w:rPr>
              <w:t>Breast Cancer Cell Lines (MCF-7 Focus)</w:t>
            </w:r>
          </w:p>
        </w:tc>
      </w:tr>
      <w:tr w:rsidR="007A00DD" w14:paraId="42D07B62" w14:textId="77777777">
        <w:trPr>
          <w:trHeight w:val="2100"/>
        </w:trPr>
        <w:tc>
          <w:tcPr>
            <w:tcW w:w="121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DBB76A8" w14:textId="77777777" w:rsidR="007A00DD" w:rsidRDefault="00000000">
            <w:pPr>
              <w:widowControl w:val="0"/>
              <w:rPr>
                <w:sz w:val="20"/>
                <w:szCs w:val="20"/>
              </w:rPr>
            </w:pPr>
            <w:proofErr w:type="spellStart"/>
            <w:r>
              <w:rPr>
                <w:sz w:val="20"/>
                <w:szCs w:val="20"/>
              </w:rPr>
              <w:t>Fenretinide</w:t>
            </w:r>
            <w:proofErr w:type="spellEnd"/>
            <w:r>
              <w:rPr>
                <w:sz w:val="20"/>
                <w:szCs w:val="20"/>
              </w:rPr>
              <w:t xml:space="preserve"> (4-HPR)</w:t>
            </w:r>
          </w:p>
        </w:tc>
        <w:tc>
          <w:tcPr>
            <w:tcW w:w="24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BC3F07C" w14:textId="77777777" w:rsidR="007A00DD" w:rsidRDefault="00000000">
            <w:pPr>
              <w:widowControl w:val="0"/>
              <w:rPr>
                <w:sz w:val="20"/>
                <w:szCs w:val="20"/>
              </w:rPr>
            </w:pPr>
            <w:r>
              <w:rPr>
                <w:sz w:val="20"/>
                <w:szCs w:val="20"/>
              </w:rPr>
              <w:t>A synthetic retinoid that triggers apoptosis through both RAR-dependent and independent pathways (Salazar et al., 2011). It uniquely drives cytotoxicity by elevating ceramide levels and generating reactive oxygen species (Cazzaniga et al., 2012; Rehman et al., 2004).</w:t>
            </w:r>
          </w:p>
        </w:tc>
        <w:tc>
          <w:tcPr>
            <w:tcW w:w="272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6ED9CA4" w14:textId="77777777" w:rsidR="007A00DD" w:rsidRDefault="00000000">
            <w:pPr>
              <w:widowControl w:val="0"/>
              <w:rPr>
                <w:sz w:val="20"/>
                <w:szCs w:val="20"/>
              </w:rPr>
            </w:pPr>
            <w:r>
              <w:rPr>
                <w:sz w:val="20"/>
                <w:szCs w:val="20"/>
              </w:rPr>
              <w:t>Primarily induces G2/M phase arrest and subsequent apoptosis across various signal transduction pathways (Gomez-Larrauri et al., 2021; Salazar et al., 2011).</w:t>
            </w:r>
          </w:p>
        </w:tc>
        <w:tc>
          <w:tcPr>
            <w:tcW w:w="293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49F0004" w14:textId="77777777" w:rsidR="007A00DD" w:rsidRDefault="00000000">
            <w:pPr>
              <w:widowControl w:val="0"/>
              <w:rPr>
                <w:sz w:val="20"/>
                <w:szCs w:val="20"/>
              </w:rPr>
            </w:pPr>
            <w:r>
              <w:rPr>
                <w:sz w:val="20"/>
                <w:szCs w:val="20"/>
              </w:rPr>
              <w:t>Shows synergistic growth inhibition in MCF-7 when paired with tamoxifen (Cazzaniga et al., 2012). It increases C18 and C24-ceramide levels (Kim et al., 2026) and can re-sensitize antiestrogen-resistant cells to treatment (Moyer et al., 2023; Li et al., 2021).</w:t>
            </w:r>
          </w:p>
        </w:tc>
      </w:tr>
      <w:tr w:rsidR="007A00DD" w14:paraId="401FFF69" w14:textId="77777777">
        <w:trPr>
          <w:trHeight w:val="1650"/>
        </w:trPr>
        <w:tc>
          <w:tcPr>
            <w:tcW w:w="121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31A47F3" w14:textId="77777777" w:rsidR="007A00DD" w:rsidRDefault="00000000">
            <w:pPr>
              <w:widowControl w:val="0"/>
              <w:rPr>
                <w:sz w:val="20"/>
                <w:szCs w:val="20"/>
              </w:rPr>
            </w:pPr>
            <w:proofErr w:type="spellStart"/>
            <w:r>
              <w:rPr>
                <w:sz w:val="20"/>
                <w:szCs w:val="20"/>
              </w:rPr>
              <w:t>Midostaurin</w:t>
            </w:r>
            <w:proofErr w:type="spellEnd"/>
            <w:r>
              <w:rPr>
                <w:sz w:val="20"/>
                <w:szCs w:val="20"/>
              </w:rPr>
              <w:t xml:space="preserve"> (PKC412)</w:t>
            </w:r>
          </w:p>
        </w:tc>
        <w:tc>
          <w:tcPr>
            <w:tcW w:w="24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2471DF4" w14:textId="77777777" w:rsidR="007A00DD" w:rsidRDefault="00000000">
            <w:pPr>
              <w:widowControl w:val="0"/>
              <w:rPr>
                <w:sz w:val="20"/>
                <w:szCs w:val="20"/>
              </w:rPr>
            </w:pPr>
            <w:r>
              <w:rPr>
                <w:sz w:val="20"/>
                <w:szCs w:val="20"/>
              </w:rPr>
              <w:t xml:space="preserve">A multi-target kinase inhibitor (targeting PKC, FLT3, and VEGFR). Specifically in TNBC, it has been shown to inhibit the Aurora kinase family (Kawai et al., 2015; </w:t>
            </w:r>
            <w:proofErr w:type="spellStart"/>
            <w:r>
              <w:rPr>
                <w:sz w:val="20"/>
                <w:szCs w:val="20"/>
              </w:rPr>
              <w:t>Silnitsky</w:t>
            </w:r>
            <w:proofErr w:type="spellEnd"/>
            <w:r>
              <w:rPr>
                <w:sz w:val="20"/>
                <w:szCs w:val="20"/>
              </w:rPr>
              <w:t xml:space="preserve"> et al., 2023).</w:t>
            </w:r>
          </w:p>
        </w:tc>
        <w:tc>
          <w:tcPr>
            <w:tcW w:w="272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D54E9F6" w14:textId="77777777" w:rsidR="007A00DD" w:rsidRDefault="00000000">
            <w:pPr>
              <w:widowControl w:val="0"/>
              <w:rPr>
                <w:sz w:val="20"/>
                <w:szCs w:val="20"/>
              </w:rPr>
            </w:pPr>
            <w:r>
              <w:rPr>
                <w:sz w:val="20"/>
                <w:szCs w:val="20"/>
              </w:rPr>
              <w:t>Induces G2/M arrest characterized by significant 4N and 8N DNA accumulation, indicating mitotic interference (Kawai et al., 2015).</w:t>
            </w:r>
          </w:p>
        </w:tc>
        <w:tc>
          <w:tcPr>
            <w:tcW w:w="293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DA077C7" w14:textId="77777777" w:rsidR="007A00DD" w:rsidRDefault="00000000">
            <w:pPr>
              <w:widowControl w:val="0"/>
              <w:rPr>
                <w:sz w:val="20"/>
                <w:szCs w:val="20"/>
              </w:rPr>
            </w:pPr>
            <w:r>
              <w:rPr>
                <w:sz w:val="20"/>
                <w:szCs w:val="20"/>
              </w:rPr>
              <w:t>Effectively attenuates proliferation in a broad spectrum of lines, including ER+ (MCF-7, HCC1428), HER2+, and various TNBC models (Kawai et al., 2015). It is also noted for reversing ABCB1-mediated multidrug resistance (Ji et al., 2019).</w:t>
            </w:r>
          </w:p>
        </w:tc>
      </w:tr>
      <w:tr w:rsidR="007A00DD" w14:paraId="0BCB6C8A" w14:textId="77777777">
        <w:trPr>
          <w:trHeight w:val="2325"/>
        </w:trPr>
        <w:tc>
          <w:tcPr>
            <w:tcW w:w="121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6962B33" w14:textId="77777777" w:rsidR="007A00DD" w:rsidRDefault="00000000">
            <w:pPr>
              <w:widowControl w:val="0"/>
              <w:rPr>
                <w:sz w:val="20"/>
                <w:szCs w:val="20"/>
              </w:rPr>
            </w:pPr>
            <w:r>
              <w:rPr>
                <w:sz w:val="20"/>
                <w:szCs w:val="20"/>
              </w:rPr>
              <w:lastRenderedPageBreak/>
              <w:t>Auranofin</w:t>
            </w:r>
          </w:p>
        </w:tc>
        <w:tc>
          <w:tcPr>
            <w:tcW w:w="24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A040503" w14:textId="77777777" w:rsidR="007A00DD" w:rsidRDefault="00000000">
            <w:pPr>
              <w:widowControl w:val="0"/>
              <w:rPr>
                <w:sz w:val="20"/>
                <w:szCs w:val="20"/>
              </w:rPr>
            </w:pPr>
            <w:r>
              <w:rPr>
                <w:sz w:val="20"/>
                <w:szCs w:val="20"/>
              </w:rPr>
              <w:t>A gold-based compound that inhibits Thioredoxin Reductase (</w:t>
            </w:r>
            <w:proofErr w:type="spellStart"/>
            <w:r>
              <w:rPr>
                <w:sz w:val="20"/>
                <w:szCs w:val="20"/>
              </w:rPr>
              <w:t>TrxR</w:t>
            </w:r>
            <w:proofErr w:type="spellEnd"/>
            <w:r>
              <w:rPr>
                <w:sz w:val="20"/>
                <w:szCs w:val="20"/>
              </w:rPr>
              <w:t xml:space="preserve">), leading to a lethal surge in oxidative stress (Abdalbari et al., 2021; Zhang et al., 2019). It also blocks proteasome-associated </w:t>
            </w:r>
            <w:proofErr w:type="spellStart"/>
            <w:r>
              <w:rPr>
                <w:sz w:val="20"/>
                <w:szCs w:val="20"/>
              </w:rPr>
              <w:t>deubiquitinases</w:t>
            </w:r>
            <w:proofErr w:type="spellEnd"/>
            <w:r>
              <w:rPr>
                <w:sz w:val="20"/>
                <w:szCs w:val="20"/>
              </w:rPr>
              <w:t xml:space="preserve"> and inhibits STAT3 phosphorylation (Galassi et al., 2022; Kim et al., 2013).</w:t>
            </w:r>
          </w:p>
        </w:tc>
        <w:tc>
          <w:tcPr>
            <w:tcW w:w="272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7413ADA" w14:textId="77777777" w:rsidR="007A00DD" w:rsidRDefault="00000000">
            <w:pPr>
              <w:widowControl w:val="0"/>
              <w:rPr>
                <w:sz w:val="20"/>
                <w:szCs w:val="20"/>
              </w:rPr>
            </w:pPr>
            <w:r>
              <w:rPr>
                <w:sz w:val="20"/>
                <w:szCs w:val="20"/>
              </w:rPr>
              <w:t>Causes phase-specific arrest at G0/G1 or S-phase depending on the metabolic context of the cell line (Chen et al., 2021; Zhao et al., 2020).</w:t>
            </w:r>
          </w:p>
        </w:tc>
        <w:tc>
          <w:tcPr>
            <w:tcW w:w="293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C7B9336" w14:textId="77777777" w:rsidR="007A00DD" w:rsidRDefault="00000000">
            <w:pPr>
              <w:widowControl w:val="0"/>
              <w:rPr>
                <w:sz w:val="20"/>
                <w:szCs w:val="20"/>
              </w:rPr>
            </w:pPr>
            <w:r>
              <w:rPr>
                <w:sz w:val="20"/>
                <w:szCs w:val="20"/>
              </w:rPr>
              <w:t xml:space="preserve">Demonstrates higher apoptotic potential in MCF-7 than cisplatin (Ryu et al., 2020). While it generally suppresses growth, it can show context-dependent pro-proliferative effects under specific </w:t>
            </w:r>
            <w:proofErr w:type="spellStart"/>
            <w:r>
              <w:rPr>
                <w:sz w:val="20"/>
                <w:szCs w:val="20"/>
              </w:rPr>
              <w:t>nitrosothiol</w:t>
            </w:r>
            <w:proofErr w:type="spellEnd"/>
            <w:r>
              <w:rPr>
                <w:sz w:val="20"/>
                <w:szCs w:val="20"/>
              </w:rPr>
              <w:t xml:space="preserve"> conditions (Cañas et al., 2012). Synergizes well with Trametinib and </w:t>
            </w:r>
            <w:proofErr w:type="spellStart"/>
            <w:r>
              <w:rPr>
                <w:sz w:val="20"/>
                <w:szCs w:val="20"/>
              </w:rPr>
              <w:t>selenocystine</w:t>
            </w:r>
            <w:proofErr w:type="spellEnd"/>
            <w:r>
              <w:rPr>
                <w:sz w:val="20"/>
                <w:szCs w:val="20"/>
              </w:rPr>
              <w:t xml:space="preserve"> (Joo et al., 2020; Liu et al., 2013).</w:t>
            </w:r>
          </w:p>
        </w:tc>
      </w:tr>
    </w:tbl>
    <w:p w14:paraId="160FAF85" w14:textId="77777777" w:rsidR="007A00DD" w:rsidRDefault="00000000">
      <w:pPr>
        <w:spacing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Table 4. Review of the drugs</w:t>
      </w:r>
    </w:p>
    <w:p w14:paraId="72CD3C6F" w14:textId="77777777" w:rsidR="007A00DD" w:rsidRDefault="00000000">
      <w:pPr>
        <w:spacing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Table 5 compares Table 4 with our experimental results.</w:t>
      </w:r>
    </w:p>
    <w:tbl>
      <w:tblPr>
        <w:tblStyle w:val="a3"/>
        <w:tblW w:w="9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0"/>
        <w:gridCol w:w="1500"/>
        <w:gridCol w:w="1500"/>
        <w:gridCol w:w="4770"/>
      </w:tblGrid>
      <w:tr w:rsidR="007A00DD" w14:paraId="1DD39166" w14:textId="77777777">
        <w:trPr>
          <w:trHeight w:val="555"/>
        </w:trPr>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694543A" w14:textId="77777777" w:rsidR="007A00DD" w:rsidRDefault="00000000">
            <w:pPr>
              <w:widowControl w:val="0"/>
              <w:rPr>
                <w:sz w:val="20"/>
                <w:szCs w:val="20"/>
              </w:rPr>
            </w:pPr>
            <w:r>
              <w:rPr>
                <w:sz w:val="20"/>
                <w:szCs w:val="20"/>
              </w:rPr>
              <w:t>Compound</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370101C" w14:textId="77777777" w:rsidR="007A00DD" w:rsidRDefault="00000000">
            <w:pPr>
              <w:widowControl w:val="0"/>
              <w:rPr>
                <w:sz w:val="20"/>
                <w:szCs w:val="20"/>
              </w:rPr>
            </w:pPr>
            <w:r>
              <w:rPr>
                <w:sz w:val="20"/>
                <w:szCs w:val="20"/>
              </w:rPr>
              <w:t xml:space="preserve">Literature cell </w:t>
            </w:r>
            <w:proofErr w:type="spellStart"/>
            <w:r>
              <w:rPr>
                <w:sz w:val="20"/>
                <w:szCs w:val="20"/>
              </w:rPr>
              <w:t>cyle</w:t>
            </w:r>
            <w:proofErr w:type="spellEnd"/>
            <w:r>
              <w:rPr>
                <w:sz w:val="20"/>
                <w:szCs w:val="20"/>
              </w:rPr>
              <w:t xml:space="preserve"> arrest</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D26D03F" w14:textId="77777777" w:rsidR="007A00DD" w:rsidRDefault="00000000">
            <w:pPr>
              <w:widowControl w:val="0"/>
              <w:rPr>
                <w:sz w:val="20"/>
                <w:szCs w:val="20"/>
              </w:rPr>
            </w:pPr>
            <w:r>
              <w:rPr>
                <w:sz w:val="20"/>
                <w:szCs w:val="20"/>
              </w:rPr>
              <w:t>Experimental cell cycle arrest</w:t>
            </w:r>
          </w:p>
        </w:tc>
        <w:tc>
          <w:tcPr>
            <w:tcW w:w="4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50FE512" w14:textId="77777777" w:rsidR="007A00DD" w:rsidRDefault="00000000">
            <w:pPr>
              <w:widowControl w:val="0"/>
              <w:rPr>
                <w:sz w:val="20"/>
                <w:szCs w:val="20"/>
              </w:rPr>
            </w:pPr>
            <w:r>
              <w:rPr>
                <w:sz w:val="20"/>
                <w:szCs w:val="20"/>
              </w:rPr>
              <w:t>Interpreting the gap</w:t>
            </w:r>
          </w:p>
        </w:tc>
      </w:tr>
      <w:tr w:rsidR="007A00DD" w14:paraId="162FBC21" w14:textId="77777777">
        <w:trPr>
          <w:trHeight w:val="1755"/>
        </w:trPr>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87DAFD3" w14:textId="77777777" w:rsidR="007A00DD" w:rsidRDefault="00000000">
            <w:pPr>
              <w:widowControl w:val="0"/>
              <w:rPr>
                <w:sz w:val="20"/>
                <w:szCs w:val="20"/>
              </w:rPr>
            </w:pPr>
            <w:proofErr w:type="spellStart"/>
            <w:r>
              <w:rPr>
                <w:sz w:val="20"/>
                <w:szCs w:val="20"/>
              </w:rPr>
              <w:t>Fenretinide</w:t>
            </w:r>
            <w:proofErr w:type="spellEnd"/>
            <w:r>
              <w:rPr>
                <w:sz w:val="20"/>
                <w:szCs w:val="20"/>
              </w:rPr>
              <w:t xml:space="preserve"> (A8)</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8CF0D36" w14:textId="77777777" w:rsidR="007A00DD" w:rsidRDefault="00000000">
            <w:pPr>
              <w:widowControl w:val="0"/>
              <w:rPr>
                <w:sz w:val="20"/>
                <w:szCs w:val="20"/>
              </w:rPr>
            </w:pPr>
            <w:r>
              <w:rPr>
                <w:sz w:val="20"/>
                <w:szCs w:val="20"/>
              </w:rPr>
              <w:t>G2/M Phase</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A3ACF78" w14:textId="77777777" w:rsidR="007A00DD" w:rsidRDefault="00000000">
            <w:pPr>
              <w:widowControl w:val="0"/>
              <w:rPr>
                <w:sz w:val="20"/>
                <w:szCs w:val="20"/>
              </w:rPr>
            </w:pPr>
            <w:r>
              <w:rPr>
                <w:sz w:val="20"/>
                <w:szCs w:val="20"/>
              </w:rPr>
              <w:t>S-Phase (13.3%)</w:t>
            </w:r>
          </w:p>
        </w:tc>
        <w:tc>
          <w:tcPr>
            <w:tcW w:w="4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D361C49" w14:textId="77777777" w:rsidR="007A00DD" w:rsidRDefault="00000000">
            <w:pPr>
              <w:widowControl w:val="0"/>
              <w:rPr>
                <w:sz w:val="20"/>
                <w:szCs w:val="20"/>
              </w:rPr>
            </w:pPr>
            <w:r>
              <w:rPr>
                <w:sz w:val="20"/>
                <w:szCs w:val="20"/>
              </w:rPr>
              <w:t>Literature notes G2/M arrest via metabolites, but the S-phase spike suggests replication stress. High ROS/Ceramide levels may stall DNA polymerase during DNA synthesis before the cell even reaches G2.</w:t>
            </w:r>
          </w:p>
          <w:p w14:paraId="4FE819B9" w14:textId="77777777" w:rsidR="007A00DD" w:rsidRDefault="007A00DD">
            <w:pPr>
              <w:widowControl w:val="0"/>
              <w:rPr>
                <w:sz w:val="20"/>
                <w:szCs w:val="20"/>
              </w:rPr>
            </w:pPr>
          </w:p>
        </w:tc>
      </w:tr>
      <w:tr w:rsidR="007A00DD" w14:paraId="7619630A" w14:textId="77777777">
        <w:trPr>
          <w:trHeight w:val="1755"/>
        </w:trPr>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051035F" w14:textId="77777777" w:rsidR="007A00DD" w:rsidRDefault="00000000">
            <w:pPr>
              <w:widowControl w:val="0"/>
              <w:rPr>
                <w:sz w:val="20"/>
                <w:szCs w:val="20"/>
              </w:rPr>
            </w:pPr>
            <w:proofErr w:type="spellStart"/>
            <w:r>
              <w:rPr>
                <w:sz w:val="20"/>
                <w:szCs w:val="20"/>
              </w:rPr>
              <w:t>Midostaurin</w:t>
            </w:r>
            <w:proofErr w:type="spellEnd"/>
            <w:r>
              <w:rPr>
                <w:sz w:val="20"/>
                <w:szCs w:val="20"/>
              </w:rPr>
              <w:t xml:space="preserve"> (A10)</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EFB34FD" w14:textId="77777777" w:rsidR="007A00DD" w:rsidRDefault="00000000">
            <w:pPr>
              <w:widowControl w:val="0"/>
              <w:rPr>
                <w:sz w:val="20"/>
                <w:szCs w:val="20"/>
              </w:rPr>
            </w:pPr>
            <w:r>
              <w:rPr>
                <w:sz w:val="20"/>
                <w:szCs w:val="20"/>
              </w:rPr>
              <w:t>G2/M Phase (4N/8N accumulation)</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62CDA2E" w14:textId="77777777" w:rsidR="007A00DD" w:rsidRDefault="00000000">
            <w:pPr>
              <w:widowControl w:val="0"/>
              <w:rPr>
                <w:sz w:val="20"/>
                <w:szCs w:val="20"/>
              </w:rPr>
            </w:pPr>
            <w:r>
              <w:rPr>
                <w:sz w:val="20"/>
                <w:szCs w:val="20"/>
              </w:rPr>
              <w:t>S-Phase (15.25%) &amp; G2 (29.7%)</w:t>
            </w:r>
          </w:p>
        </w:tc>
        <w:tc>
          <w:tcPr>
            <w:tcW w:w="4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1BACB64" w14:textId="77777777" w:rsidR="007A00DD" w:rsidRDefault="00000000">
            <w:pPr>
              <w:widowControl w:val="0"/>
              <w:rPr>
                <w:sz w:val="20"/>
                <w:szCs w:val="20"/>
              </w:rPr>
            </w:pPr>
            <w:r>
              <w:rPr>
                <w:sz w:val="20"/>
                <w:szCs w:val="20"/>
              </w:rPr>
              <w:t>In the literature, the "4N" population is the G2 population. High S-phase suggests that many cells are trying to reach the 4N state.</w:t>
            </w:r>
          </w:p>
        </w:tc>
      </w:tr>
      <w:tr w:rsidR="007A00DD" w14:paraId="0C17F7BB" w14:textId="77777777">
        <w:trPr>
          <w:trHeight w:val="1995"/>
        </w:trPr>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6F95AD0" w14:textId="77777777" w:rsidR="007A00DD" w:rsidRDefault="00000000">
            <w:pPr>
              <w:widowControl w:val="0"/>
              <w:rPr>
                <w:sz w:val="20"/>
                <w:szCs w:val="20"/>
              </w:rPr>
            </w:pPr>
            <w:r>
              <w:rPr>
                <w:sz w:val="20"/>
                <w:szCs w:val="20"/>
              </w:rPr>
              <w:t>Auranofin (G5)</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71DC8C8" w14:textId="77777777" w:rsidR="007A00DD" w:rsidRDefault="00000000">
            <w:pPr>
              <w:widowControl w:val="0"/>
              <w:rPr>
                <w:sz w:val="20"/>
                <w:szCs w:val="20"/>
              </w:rPr>
            </w:pPr>
            <w:r>
              <w:rPr>
                <w:sz w:val="20"/>
                <w:szCs w:val="20"/>
              </w:rPr>
              <w:t>G0/G1 or S-Phase</w:t>
            </w:r>
          </w:p>
        </w:tc>
        <w:tc>
          <w:tcPr>
            <w:tcW w:w="15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CAC9E15" w14:textId="77777777" w:rsidR="007A00DD" w:rsidRDefault="00000000">
            <w:pPr>
              <w:widowControl w:val="0"/>
              <w:rPr>
                <w:sz w:val="20"/>
                <w:szCs w:val="20"/>
              </w:rPr>
            </w:pPr>
            <w:r>
              <w:rPr>
                <w:sz w:val="20"/>
                <w:szCs w:val="20"/>
              </w:rPr>
              <w:t>G2/M Phase (34.6%)</w:t>
            </w:r>
          </w:p>
        </w:tc>
        <w:tc>
          <w:tcPr>
            <w:tcW w:w="47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5398E62" w14:textId="77777777" w:rsidR="007A00DD" w:rsidRDefault="00000000">
            <w:pPr>
              <w:widowControl w:val="0"/>
              <w:rPr>
                <w:sz w:val="20"/>
                <w:szCs w:val="20"/>
              </w:rPr>
            </w:pPr>
            <w:r>
              <w:rPr>
                <w:sz w:val="20"/>
                <w:szCs w:val="20"/>
              </w:rPr>
              <w:t xml:space="preserve">Literature suggests G0/G1 arrest, whereas our MCF-7 cells are triggering G2/M checkpoint. This finding may indicate that the </w:t>
            </w:r>
            <w:proofErr w:type="spellStart"/>
            <w:r>
              <w:rPr>
                <w:sz w:val="20"/>
                <w:szCs w:val="20"/>
              </w:rPr>
              <w:t>TrxR</w:t>
            </w:r>
            <w:proofErr w:type="spellEnd"/>
            <w:r>
              <w:rPr>
                <w:sz w:val="20"/>
                <w:szCs w:val="20"/>
              </w:rPr>
              <w:t>-induced oxidative stress was severe enough to trigger a mandatory DNA-repair halt before mitosis.</w:t>
            </w:r>
          </w:p>
        </w:tc>
      </w:tr>
    </w:tbl>
    <w:p w14:paraId="0E878845" w14:textId="77777777" w:rsidR="007A00DD" w:rsidRDefault="00000000">
      <w:pPr>
        <w:spacing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Table 5. Comparison of literature data and experimental results with possible interpretations.</w:t>
      </w:r>
    </w:p>
    <w:p w14:paraId="00836F8D"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inhibitors cause the alterations of the cell cycle, not resembling epithelial cell cycle profile; they </w:t>
      </w:r>
      <w:proofErr w:type="spellStart"/>
      <w:r>
        <w:rPr>
          <w:rFonts w:ascii="Times New Roman" w:eastAsia="Times New Roman" w:hAnsi="Times New Roman" w:cs="Times New Roman"/>
          <w:color w:val="0E101A"/>
          <w:sz w:val="24"/>
          <w:szCs w:val="24"/>
        </w:rPr>
        <w:t>can not</w:t>
      </w:r>
      <w:proofErr w:type="spellEnd"/>
      <w:r>
        <w:rPr>
          <w:rFonts w:ascii="Times New Roman" w:eastAsia="Times New Roman" w:hAnsi="Times New Roman" w:cs="Times New Roman"/>
          <w:color w:val="0E101A"/>
          <w:sz w:val="24"/>
          <w:szCs w:val="24"/>
        </w:rPr>
        <w:t xml:space="preserve"> be considered specific Zeb1 inhibitors.   </w:t>
      </w:r>
    </w:p>
    <w:p w14:paraId="4D5B1557" w14:textId="77777777" w:rsidR="007A00DD" w:rsidRDefault="00000000">
      <w:pPr>
        <w:spacing w:before="240" w:after="24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Upon Zeb1 induction, the MCF-7 cell cycle architecture is reorganized into a dominant G1-arrested state (84.1%). Our analysis shows that this G1-heavy profile acts as a pharmacological shield. For the multi-target kinase inhibitor </w:t>
      </w:r>
      <w:proofErr w:type="spellStart"/>
      <w:r>
        <w:rPr>
          <w:rFonts w:ascii="Times New Roman" w:eastAsia="Times New Roman" w:hAnsi="Times New Roman" w:cs="Times New Roman"/>
          <w:color w:val="0E101A"/>
          <w:sz w:val="24"/>
          <w:szCs w:val="24"/>
        </w:rPr>
        <w:t>Midostaurin</w:t>
      </w:r>
      <w:proofErr w:type="spellEnd"/>
      <w:r>
        <w:rPr>
          <w:rFonts w:ascii="Times New Roman" w:eastAsia="Times New Roman" w:hAnsi="Times New Roman" w:cs="Times New Roman"/>
          <w:color w:val="0E101A"/>
          <w:sz w:val="24"/>
          <w:szCs w:val="24"/>
        </w:rPr>
        <w:t xml:space="preserve"> (A10), the literature suggests that its primary mechanism of action is inhibition of Aurora kinases, leading to 4N DNA accumulation (Kawai et al., 2015). Epithelial cells showed a robust increase in G2/M; the Zeb1-induced cells showed a significantly blunted response (G2: 6.2% to 10.9%). Similarly, the lethal surge in oxidative stress typically induced by Auranofin (G5) (Abdalbari et al., 2021) was largely neutralized. The G2/M checkpoint spike reduced by more than 60% compared to the epithelial baseline.</w:t>
      </w:r>
    </w:p>
    <w:p w14:paraId="3A4E8F63"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result aligns with established paradigms: EMT equips cells with cancer stem cell traits. These include heightened efflux pump activity, metabolic flexibility, and superior DNA repair (Singh &amp; </w:t>
      </w:r>
      <w:proofErr w:type="spellStart"/>
      <w:r>
        <w:rPr>
          <w:rFonts w:ascii="Times New Roman" w:eastAsia="Times New Roman" w:hAnsi="Times New Roman" w:cs="Times New Roman"/>
          <w:color w:val="0E101A"/>
          <w:sz w:val="24"/>
          <w:szCs w:val="24"/>
        </w:rPr>
        <w:t>Settleman</w:t>
      </w:r>
      <w:proofErr w:type="spellEnd"/>
      <w:r>
        <w:rPr>
          <w:rFonts w:ascii="Times New Roman" w:eastAsia="Times New Roman" w:hAnsi="Times New Roman" w:cs="Times New Roman"/>
          <w:color w:val="0E101A"/>
          <w:sz w:val="24"/>
          <w:szCs w:val="24"/>
        </w:rPr>
        <w:t>, 2010). Mesenchymal cells generally resist conventional treatments that target rapidly dividing populations (</w:t>
      </w:r>
      <w:proofErr w:type="spellStart"/>
      <w:r>
        <w:rPr>
          <w:rFonts w:ascii="Times New Roman" w:eastAsia="Times New Roman" w:hAnsi="Times New Roman" w:cs="Times New Roman"/>
          <w:color w:val="0E101A"/>
          <w:sz w:val="24"/>
          <w:szCs w:val="24"/>
        </w:rPr>
        <w:t>Shibue</w:t>
      </w:r>
      <w:proofErr w:type="spellEnd"/>
      <w:r>
        <w:rPr>
          <w:rFonts w:ascii="Times New Roman" w:eastAsia="Times New Roman" w:hAnsi="Times New Roman" w:cs="Times New Roman"/>
          <w:color w:val="0E101A"/>
          <w:sz w:val="24"/>
          <w:szCs w:val="24"/>
        </w:rPr>
        <w:t xml:space="preserve"> &amp; Weinberg, 2017).</w:t>
      </w:r>
    </w:p>
    <w:p w14:paraId="72DF93AA" w14:textId="77777777" w:rsidR="007A00DD" w:rsidRDefault="00000000">
      <w:pPr>
        <w:spacing w:before="240" w:after="24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On the other hand, </w:t>
      </w:r>
      <w:proofErr w:type="spellStart"/>
      <w:r>
        <w:rPr>
          <w:rFonts w:ascii="Times New Roman" w:eastAsia="Times New Roman" w:hAnsi="Times New Roman" w:cs="Times New Roman"/>
          <w:color w:val="0E101A"/>
          <w:sz w:val="24"/>
          <w:szCs w:val="24"/>
        </w:rPr>
        <w:t>Fenretinide</w:t>
      </w:r>
      <w:proofErr w:type="spellEnd"/>
      <w:r>
        <w:rPr>
          <w:rFonts w:ascii="Times New Roman" w:eastAsia="Times New Roman" w:hAnsi="Times New Roman" w:cs="Times New Roman"/>
          <w:color w:val="0E101A"/>
          <w:sz w:val="24"/>
          <w:szCs w:val="24"/>
        </w:rPr>
        <w:t xml:space="preserve"> (A8) remained the most active in the induced group, tripling the S-phase population and doubling the G2-phase population. This suggests that the generation of ceramides and reactive oxygen species (Cazzaniga et al., 2012) can bypass the Zeb1-mediated G1 block more effectively than kinase-specific inhibition, although the overall population remains largely sequestered in G1.</w:t>
      </w:r>
    </w:p>
    <w:p w14:paraId="0630E4A3" w14:textId="77777777" w:rsidR="007A00DD" w:rsidRDefault="00000000">
      <w:pPr>
        <w:pStyle w:val="Heading3"/>
        <w:keepNext w:val="0"/>
        <w:keepLines w:val="0"/>
        <w:spacing w:before="280" w:line="480" w:lineRule="auto"/>
        <w:jc w:val="both"/>
        <w:rPr>
          <w:rFonts w:ascii="Times New Roman" w:eastAsia="Times New Roman" w:hAnsi="Times New Roman" w:cs="Times New Roman"/>
          <w:b/>
          <w:bCs/>
          <w:color w:val="0E101A"/>
          <w:sz w:val="26"/>
          <w:szCs w:val="26"/>
        </w:rPr>
      </w:pPr>
      <w:bookmarkStart w:id="0" w:name="_kyi7s81a30ud" w:colFirst="0" w:colLast="0"/>
      <w:bookmarkEnd w:id="0"/>
      <w:r>
        <w:rPr>
          <w:rFonts w:ascii="Times New Roman" w:eastAsia="Times New Roman" w:hAnsi="Times New Roman" w:cs="Times New Roman"/>
          <w:b/>
          <w:bCs/>
          <w:color w:val="0E101A"/>
          <w:sz w:val="26"/>
          <w:szCs w:val="26"/>
        </w:rPr>
        <w:t>Conclusion</w:t>
      </w:r>
    </w:p>
    <w:p w14:paraId="1CBFE8B4" w14:textId="77777777" w:rsidR="007A00DD" w:rsidRDefault="00000000">
      <w:pPr>
        <w:spacing w:before="240" w:after="24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transition from epithelial to mesenchymal states in MCF-7 cells is characterized by an 84.1% G1-phase sequestration, which functions as a form of kinetic resistance. While the tested inhibitors (</w:t>
      </w:r>
      <w:proofErr w:type="spellStart"/>
      <w:r>
        <w:rPr>
          <w:rFonts w:ascii="Times New Roman" w:eastAsia="Times New Roman" w:hAnsi="Times New Roman" w:cs="Times New Roman"/>
          <w:color w:val="0E101A"/>
          <w:sz w:val="24"/>
          <w:szCs w:val="24"/>
        </w:rPr>
        <w:t>Fenretinide</w:t>
      </w:r>
      <w:proofErr w:type="spellEnd"/>
      <w:r>
        <w:rPr>
          <w:rFonts w:ascii="Times New Roman" w:eastAsia="Times New Roman" w:hAnsi="Times New Roman" w:cs="Times New Roman"/>
          <w:color w:val="0E101A"/>
          <w:sz w:val="24"/>
          <w:szCs w:val="24"/>
        </w:rPr>
        <w:t xml:space="preserve">, </w:t>
      </w:r>
      <w:proofErr w:type="spellStart"/>
      <w:r>
        <w:rPr>
          <w:rFonts w:ascii="Times New Roman" w:eastAsia="Times New Roman" w:hAnsi="Times New Roman" w:cs="Times New Roman"/>
          <w:color w:val="0E101A"/>
          <w:sz w:val="24"/>
          <w:szCs w:val="24"/>
        </w:rPr>
        <w:t>Midostaurin</w:t>
      </w:r>
      <w:proofErr w:type="spellEnd"/>
      <w:r>
        <w:rPr>
          <w:rFonts w:ascii="Times New Roman" w:eastAsia="Times New Roman" w:hAnsi="Times New Roman" w:cs="Times New Roman"/>
          <w:color w:val="0E101A"/>
          <w:sz w:val="24"/>
          <w:szCs w:val="24"/>
        </w:rPr>
        <w:t xml:space="preserve">, Auranofin) exert distinct phase-specific arrests in proliferative cells, </w:t>
      </w:r>
      <w:r>
        <w:rPr>
          <w:rFonts w:ascii="Times New Roman" w:eastAsia="Times New Roman" w:hAnsi="Times New Roman" w:cs="Times New Roman"/>
          <w:color w:val="0E101A"/>
          <w:sz w:val="24"/>
          <w:szCs w:val="24"/>
        </w:rPr>
        <w:lastRenderedPageBreak/>
        <w:t>targeting DNA replication (S-phase) and mitotic machinery (G2/M), the Zeb1-induced population evades these effects by remaining outside the active cycle. Therefore, the failure of these inhibitors to reverse EMT is likely due to the cells' dormant metabolic state, suggesting that future therapies must first 'awaken' these cells or target G1-specific vulnerabilities to be effective.</w:t>
      </w:r>
    </w:p>
    <w:p w14:paraId="094F10AB"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Methodology and strategy improvement</w:t>
      </w:r>
      <w:r>
        <w:rPr>
          <w:rFonts w:ascii="Times New Roman" w:eastAsia="Times New Roman" w:hAnsi="Times New Roman" w:cs="Times New Roman"/>
          <w:color w:val="0E101A"/>
          <w:sz w:val="24"/>
          <w:szCs w:val="24"/>
        </w:rPr>
        <w:t xml:space="preserve"> </w:t>
      </w:r>
    </w:p>
    <w:p w14:paraId="393F2A57"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inducible system proved effective, however our attempts to generate a stable Zeb1 rescue model in MDA-MB-231 KO cells using liposomal transfection were unsuccessful. Although adequate efficacy of transient expression was confirmed by measuring GFP fluorescence of transfected cells, the antibiotic selection of Zeb1-expressing cell populations resulted in complete cell lethality. This failure is likely attributed to the low genomic integration efficiency of plasmid-based chemical transfection in mesenchymal triple-negative breast cancer lines (Karra &amp; Vemula, 2010). These results support the conclusion that transient methods are ill-suited for generating stable cell lines in hard-to-transfect mesenchymal variants. </w:t>
      </w:r>
    </w:p>
    <w:p w14:paraId="47482A9D"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In the future experiments, lentiviral transduction will be used. Viral vectors utilize active integration mechanisms into the host genome via single-stranded Long Terminal Repeats of lentivirus. This mechanism ensures stable incorporation of the transgene into the host genome, significantly improving the yield of viable, antibiotic-resistant colonies for long-term functional assays (Lino et al., 2018). </w:t>
      </w:r>
    </w:p>
    <w:p w14:paraId="3697AF2A" w14:textId="77777777" w:rsidR="007A00DD" w:rsidRDefault="00000000">
      <w:pPr>
        <w:spacing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Future directions</w:t>
      </w:r>
    </w:p>
    <w:p w14:paraId="7427A7D6"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A single drug that can kill these cells directly has proven insufficient. Zeb1-driven mesenchymal state is intrinsically resistant. To bypass this barrier, our next phase scales up the discovery process by evaluating a comprehensive library of 2,330 FDA-approved compounds. Repurposing existing </w:t>
      </w:r>
      <w:r>
        <w:rPr>
          <w:rFonts w:ascii="Times New Roman" w:eastAsia="Times New Roman" w:hAnsi="Times New Roman" w:cs="Times New Roman"/>
          <w:color w:val="0E101A"/>
          <w:sz w:val="24"/>
          <w:szCs w:val="24"/>
        </w:rPr>
        <w:lastRenderedPageBreak/>
        <w:t>compounds provides a fast track to clinical use. Their safety and tolerability are well documented (</w:t>
      </w:r>
      <w:proofErr w:type="spellStart"/>
      <w:r>
        <w:rPr>
          <w:rFonts w:ascii="Times New Roman" w:eastAsia="Times New Roman" w:hAnsi="Times New Roman" w:cs="Times New Roman"/>
          <w:color w:val="0E101A"/>
          <w:sz w:val="24"/>
          <w:szCs w:val="24"/>
        </w:rPr>
        <w:t>Pushpakom</w:t>
      </w:r>
      <w:proofErr w:type="spellEnd"/>
      <w:r>
        <w:rPr>
          <w:rFonts w:ascii="Times New Roman" w:eastAsia="Times New Roman" w:hAnsi="Times New Roman" w:cs="Times New Roman"/>
          <w:color w:val="0E101A"/>
          <w:sz w:val="24"/>
          <w:szCs w:val="24"/>
        </w:rPr>
        <w:t xml:space="preserve"> et al., 2019; Corsello et al., 2020).</w:t>
      </w:r>
    </w:p>
    <w:p w14:paraId="305EA4D2" w14:textId="77777777" w:rsidR="007A00DD" w:rsidRDefault="00000000">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We will utilize our E-cadherin luciferase reporter to identify compounds that actively disrupt Zeb1 signaling and force epithelial reversion. The ultimate clinical application of the drug screening is to find a "two-punch" strategy. We aim to identify an agent that successfully breaks the mesenchymal state and restores E-cadherin expression. Also, </w:t>
      </w:r>
      <w:proofErr w:type="spellStart"/>
      <w:r>
        <w:rPr>
          <w:rFonts w:ascii="Times New Roman" w:eastAsia="Times New Roman" w:hAnsi="Times New Roman" w:cs="Times New Roman"/>
          <w:color w:val="0E101A"/>
          <w:sz w:val="24"/>
          <w:szCs w:val="24"/>
        </w:rPr>
        <w:t>cdk</w:t>
      </w:r>
      <w:proofErr w:type="spellEnd"/>
      <w:r>
        <w:rPr>
          <w:rFonts w:ascii="Times New Roman" w:eastAsia="Times New Roman" w:hAnsi="Times New Roman" w:cs="Times New Roman"/>
          <w:color w:val="0E101A"/>
          <w:sz w:val="24"/>
          <w:szCs w:val="24"/>
        </w:rPr>
        <w:t xml:space="preserve"> inhibitors might be good candidates to start with as they target G1 checkpoint failures. Later, we could pair it with the ATR inhibitor VE-821. When Zeb1 is inhibited, the cell’s internal repair machinery essentially collapses. We expect this failure to trigger a massive, fatal accumulation of DNA damage (Song et al., 2018). Finally, this strategy aims to strip metastatic breast cancer cells of their EMT-derived chemoresistance, rendering them fatally vulnerable to targeted therapies.</w:t>
      </w:r>
    </w:p>
    <w:p w14:paraId="39E5CB4E" w14:textId="77777777" w:rsidR="007A00DD" w:rsidRDefault="00000000">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Reference list</w:t>
      </w:r>
    </w:p>
    <w:p w14:paraId="3FB53FF6"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Abdalbari, F. H., &amp; Telleria, C. M. (2021). The gold complex auranofin: new perspectives for cancer therapy. </w:t>
      </w:r>
      <w:r>
        <w:rPr>
          <w:rFonts w:ascii="Times New Roman" w:eastAsia="Times New Roman" w:hAnsi="Times New Roman" w:cs="Times New Roman"/>
          <w:i/>
          <w:iCs/>
          <w:color w:val="212121"/>
          <w:sz w:val="24"/>
          <w:szCs w:val="24"/>
          <w:highlight w:val="white"/>
        </w:rPr>
        <w:t>Discover oncology</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12</w:t>
      </w:r>
      <w:r>
        <w:rPr>
          <w:rFonts w:ascii="Times New Roman" w:eastAsia="Times New Roman" w:hAnsi="Times New Roman" w:cs="Times New Roman"/>
          <w:color w:val="212121"/>
          <w:sz w:val="24"/>
          <w:szCs w:val="24"/>
          <w:highlight w:val="white"/>
        </w:rPr>
        <w:t xml:space="preserve">(1), 42. </w:t>
      </w:r>
      <w:hyperlink r:id="rId12">
        <w:r w:rsidR="007A00DD">
          <w:rPr>
            <w:rFonts w:ascii="Times New Roman" w:eastAsia="Times New Roman" w:hAnsi="Times New Roman" w:cs="Times New Roman"/>
            <w:color w:val="1155CC"/>
            <w:sz w:val="24"/>
            <w:szCs w:val="24"/>
            <w:highlight w:val="white"/>
            <w:u w:val="single"/>
          </w:rPr>
          <w:t>https://doi.org/10.1007/s12672-021-00439-0</w:t>
        </w:r>
      </w:hyperlink>
    </w:p>
    <w:p w14:paraId="276384EE" w14:textId="77777777" w:rsidR="007A00DD" w:rsidRDefault="00000000">
      <w:pPr>
        <w:numPr>
          <w:ilvl w:val="0"/>
          <w:numId w:val="2"/>
        </w:numPr>
        <w:spacing w:before="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Addison, J. B., </w:t>
      </w:r>
      <w:proofErr w:type="spellStart"/>
      <w:r>
        <w:rPr>
          <w:rFonts w:ascii="Times New Roman" w:eastAsia="Times New Roman" w:hAnsi="Times New Roman" w:cs="Times New Roman"/>
          <w:color w:val="212121"/>
          <w:sz w:val="24"/>
          <w:szCs w:val="24"/>
          <w:highlight w:val="white"/>
        </w:rPr>
        <w:t>Voronkova</w:t>
      </w:r>
      <w:proofErr w:type="spellEnd"/>
      <w:r>
        <w:rPr>
          <w:rFonts w:ascii="Times New Roman" w:eastAsia="Times New Roman" w:hAnsi="Times New Roman" w:cs="Times New Roman"/>
          <w:color w:val="212121"/>
          <w:sz w:val="24"/>
          <w:szCs w:val="24"/>
          <w:highlight w:val="white"/>
        </w:rPr>
        <w:t xml:space="preserve">, M. A., Fugett, J. H., Lin, C. C., Linville, N. C., Trinh, B., Livengood, R. H., Smolkin, M. B., Schaller, M. D., Ruppert, J. M., Pugacheva, E. N., Creighton, C. J., &amp; Ivanov, A. V. (2021). Functional hierarchy and cooperation of EMT master transcription factors in breast cancer metastasis. </w:t>
      </w:r>
      <w:r>
        <w:rPr>
          <w:rFonts w:ascii="Times New Roman" w:eastAsia="Times New Roman" w:hAnsi="Times New Roman" w:cs="Times New Roman"/>
          <w:i/>
          <w:iCs/>
          <w:color w:val="212121"/>
          <w:sz w:val="24"/>
          <w:szCs w:val="24"/>
          <w:highlight w:val="white"/>
        </w:rPr>
        <w:t>Molecular Cancer Research</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19</w:t>
      </w:r>
      <w:r>
        <w:rPr>
          <w:rFonts w:ascii="Times New Roman" w:eastAsia="Times New Roman" w:hAnsi="Times New Roman" w:cs="Times New Roman"/>
          <w:color w:val="212121"/>
          <w:sz w:val="24"/>
          <w:szCs w:val="24"/>
          <w:highlight w:val="white"/>
        </w:rPr>
        <w:t>(5), 784–798.</w:t>
      </w:r>
      <w:hyperlink r:id="rId13">
        <w:r w:rsidR="007A00DD">
          <w:rPr>
            <w:rFonts w:ascii="Times New Roman" w:eastAsia="Times New Roman" w:hAnsi="Times New Roman" w:cs="Times New Roman"/>
            <w:color w:val="212121"/>
            <w:sz w:val="24"/>
            <w:szCs w:val="24"/>
            <w:highlight w:val="white"/>
          </w:rPr>
          <w:t xml:space="preserve"> </w:t>
        </w:r>
      </w:hyperlink>
      <w:hyperlink r:id="rId14">
        <w:r w:rsidR="007A00DD">
          <w:rPr>
            <w:rFonts w:ascii="Times New Roman" w:eastAsia="Times New Roman" w:hAnsi="Times New Roman" w:cs="Times New Roman"/>
            <w:color w:val="1155CC"/>
            <w:sz w:val="24"/>
            <w:szCs w:val="24"/>
            <w:highlight w:val="white"/>
            <w:u w:val="single"/>
          </w:rPr>
          <w:t>https://doi.org/10.1158/1541-7786.MCR-20-0532</w:t>
        </w:r>
      </w:hyperlink>
    </w:p>
    <w:p w14:paraId="2FEF59A8"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lastRenderedPageBreak/>
        <w:t xml:space="preserve">Afifi, A. M., Saad, A. M., Al-Husseini, M. J., </w:t>
      </w:r>
      <w:proofErr w:type="spellStart"/>
      <w:r>
        <w:rPr>
          <w:rFonts w:ascii="Times New Roman" w:eastAsia="Times New Roman" w:hAnsi="Times New Roman" w:cs="Times New Roman"/>
          <w:color w:val="212121"/>
          <w:sz w:val="24"/>
          <w:szCs w:val="24"/>
          <w:highlight w:val="white"/>
        </w:rPr>
        <w:t>Elmehrath</w:t>
      </w:r>
      <w:proofErr w:type="spellEnd"/>
      <w:r>
        <w:rPr>
          <w:rFonts w:ascii="Times New Roman" w:eastAsia="Times New Roman" w:hAnsi="Times New Roman" w:cs="Times New Roman"/>
          <w:color w:val="212121"/>
          <w:sz w:val="24"/>
          <w:szCs w:val="24"/>
          <w:highlight w:val="white"/>
        </w:rPr>
        <w:t xml:space="preserve">, A. O., </w:t>
      </w:r>
      <w:proofErr w:type="spellStart"/>
      <w:r>
        <w:rPr>
          <w:rFonts w:ascii="Times New Roman" w:eastAsia="Times New Roman" w:hAnsi="Times New Roman" w:cs="Times New Roman"/>
          <w:color w:val="212121"/>
          <w:sz w:val="24"/>
          <w:szCs w:val="24"/>
          <w:highlight w:val="white"/>
        </w:rPr>
        <w:t>Northfelt</w:t>
      </w:r>
      <w:proofErr w:type="spellEnd"/>
      <w:r>
        <w:rPr>
          <w:rFonts w:ascii="Times New Roman" w:eastAsia="Times New Roman" w:hAnsi="Times New Roman" w:cs="Times New Roman"/>
          <w:color w:val="212121"/>
          <w:sz w:val="24"/>
          <w:szCs w:val="24"/>
          <w:highlight w:val="white"/>
        </w:rPr>
        <w:t xml:space="preserve">, D. W., &amp; Sonbol, M. B. (2020). Causes of death after breast cancer diagnosis: A US population-based analysis. Cancer, 126(7), 1559–1567. </w:t>
      </w:r>
      <w:hyperlink r:id="rId15">
        <w:r w:rsidR="007A00DD">
          <w:rPr>
            <w:rFonts w:ascii="Times New Roman" w:eastAsia="Times New Roman" w:hAnsi="Times New Roman" w:cs="Times New Roman"/>
            <w:color w:val="1155CC"/>
            <w:sz w:val="24"/>
            <w:szCs w:val="24"/>
            <w:highlight w:val="white"/>
            <w:u w:val="single"/>
          </w:rPr>
          <w:t>https://doi.org/10.1002/cncr.32648</w:t>
        </w:r>
      </w:hyperlink>
    </w:p>
    <w:p w14:paraId="0C4F488B"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proofErr w:type="spellStart"/>
      <w:r>
        <w:rPr>
          <w:rFonts w:ascii="Times New Roman" w:eastAsia="Times New Roman" w:hAnsi="Times New Roman" w:cs="Times New Roman"/>
          <w:color w:val="212121"/>
          <w:sz w:val="24"/>
          <w:szCs w:val="24"/>
          <w:highlight w:val="white"/>
        </w:rPr>
        <w:t>Alfahed</w:t>
      </w:r>
      <w:proofErr w:type="spellEnd"/>
      <w:r>
        <w:rPr>
          <w:rFonts w:ascii="Times New Roman" w:eastAsia="Times New Roman" w:hAnsi="Times New Roman" w:cs="Times New Roman"/>
          <w:color w:val="212121"/>
          <w:sz w:val="24"/>
          <w:szCs w:val="24"/>
          <w:highlight w:val="white"/>
        </w:rPr>
        <w:t>, A. (2024). Cell Migration–Proliferation Dichotomy in Cancer: Biological Fact or Experimental Artefact? Biology, 13(10), 753. https://doi.org/10.3390/biology13100753</w:t>
      </w:r>
    </w:p>
    <w:p w14:paraId="589EAD0C"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Bai, W. D., Ye, X. M., Zhang, M. Y., Zhu, H. Y., Xi, W. J., Huang, X., Zhao, J., Gu, B., Zheng, G. X., Yang, A. G., &amp; Jia, L. T. (2014). MiR-200c suppresses TGF-β signaling and counteracts trastuzumab resistance and metastasis by targeting ZNF217 and ZEB1 in breast cancer. International journal of cancer, 135(6), 1356–1368. </w:t>
      </w:r>
      <w:hyperlink r:id="rId16">
        <w:r w:rsidR="007A00DD">
          <w:rPr>
            <w:rFonts w:ascii="Times New Roman" w:eastAsia="Times New Roman" w:hAnsi="Times New Roman" w:cs="Times New Roman"/>
            <w:color w:val="1155CC"/>
            <w:sz w:val="24"/>
            <w:szCs w:val="24"/>
            <w:highlight w:val="white"/>
            <w:u w:val="single"/>
          </w:rPr>
          <w:t>https://doi.org/10.1002/ijc.28782</w:t>
        </w:r>
      </w:hyperlink>
    </w:p>
    <w:p w14:paraId="5A619A2C"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Bassani, B., Bartolini, D., Pagani, A., Principi, E., Zollo, M., Noonan, D. M., &amp; Albini, A. (2016). </w:t>
      </w:r>
      <w:proofErr w:type="spellStart"/>
      <w:r>
        <w:rPr>
          <w:rFonts w:ascii="Times New Roman" w:eastAsia="Times New Roman" w:hAnsi="Times New Roman" w:cs="Times New Roman"/>
          <w:color w:val="212121"/>
          <w:sz w:val="24"/>
          <w:szCs w:val="24"/>
          <w:highlight w:val="white"/>
        </w:rPr>
        <w:t>Fenretinide</w:t>
      </w:r>
      <w:proofErr w:type="spellEnd"/>
      <w:r>
        <w:rPr>
          <w:rFonts w:ascii="Times New Roman" w:eastAsia="Times New Roman" w:hAnsi="Times New Roman" w:cs="Times New Roman"/>
          <w:color w:val="212121"/>
          <w:sz w:val="24"/>
          <w:szCs w:val="24"/>
          <w:highlight w:val="white"/>
        </w:rPr>
        <w:t xml:space="preserve"> (4-HPR) targets caspase-9, ERK 1/2 and the Wnt3a/β-catenin pathway in medulloblastoma cells and medulloblastoma cell spheroids. </w:t>
      </w:r>
      <w:proofErr w:type="spellStart"/>
      <w:r>
        <w:rPr>
          <w:rFonts w:ascii="Times New Roman" w:eastAsia="Times New Roman" w:hAnsi="Times New Roman" w:cs="Times New Roman"/>
          <w:color w:val="212121"/>
          <w:sz w:val="24"/>
          <w:szCs w:val="24"/>
          <w:highlight w:val="white"/>
        </w:rPr>
        <w:t>PLoS</w:t>
      </w:r>
      <w:proofErr w:type="spellEnd"/>
      <w:r>
        <w:rPr>
          <w:rFonts w:ascii="Times New Roman" w:eastAsia="Times New Roman" w:hAnsi="Times New Roman" w:cs="Times New Roman"/>
          <w:color w:val="212121"/>
          <w:sz w:val="24"/>
          <w:szCs w:val="24"/>
          <w:highlight w:val="white"/>
        </w:rPr>
        <w:t xml:space="preserve"> One, 11(7), e0154111.</w:t>
      </w:r>
    </w:p>
    <w:p w14:paraId="6D646AA4"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1B1B1B"/>
          <w:sz w:val="24"/>
          <w:szCs w:val="24"/>
          <w:highlight w:val="white"/>
        </w:rPr>
        <w:t>Cañas, A., López-Sánchez, L. M., Valverde-Estepa, A., Hernández, V., Fuentes, E., Muñoz-Castañeda, J. R., López-Pedrera, C., De La Haba-Rodríguez, J. R., Aranda, E., &amp; Rodríguez-Ariza, A. (2012). Maintenance of S-</w:t>
      </w:r>
      <w:proofErr w:type="spellStart"/>
      <w:r>
        <w:rPr>
          <w:rFonts w:ascii="Times New Roman" w:eastAsia="Times New Roman" w:hAnsi="Times New Roman" w:cs="Times New Roman"/>
          <w:color w:val="1B1B1B"/>
          <w:sz w:val="24"/>
          <w:szCs w:val="24"/>
          <w:highlight w:val="white"/>
        </w:rPr>
        <w:t>nitrosothiol</w:t>
      </w:r>
      <w:proofErr w:type="spellEnd"/>
      <w:r>
        <w:rPr>
          <w:rFonts w:ascii="Times New Roman" w:eastAsia="Times New Roman" w:hAnsi="Times New Roman" w:cs="Times New Roman"/>
          <w:color w:val="1B1B1B"/>
          <w:sz w:val="24"/>
          <w:szCs w:val="24"/>
          <w:highlight w:val="white"/>
        </w:rPr>
        <w:t xml:space="preserve"> homeostasis plays an important role in growth suppression of estrogen receptor-positive breast tumors. </w:t>
      </w:r>
      <w:r>
        <w:rPr>
          <w:rFonts w:ascii="Times New Roman" w:eastAsia="Times New Roman" w:hAnsi="Times New Roman" w:cs="Times New Roman"/>
          <w:i/>
          <w:iCs/>
          <w:color w:val="1B1B1B"/>
          <w:sz w:val="24"/>
          <w:szCs w:val="24"/>
          <w:highlight w:val="white"/>
        </w:rPr>
        <w:t xml:space="preserve">Breast cancer </w:t>
      </w:r>
      <w:proofErr w:type="gramStart"/>
      <w:r>
        <w:rPr>
          <w:rFonts w:ascii="Times New Roman" w:eastAsia="Times New Roman" w:hAnsi="Times New Roman" w:cs="Times New Roman"/>
          <w:i/>
          <w:iCs/>
          <w:color w:val="1B1B1B"/>
          <w:sz w:val="24"/>
          <w:szCs w:val="24"/>
          <w:highlight w:val="white"/>
        </w:rPr>
        <w:t>research :</w:t>
      </w:r>
      <w:proofErr w:type="gramEnd"/>
      <w:r>
        <w:rPr>
          <w:rFonts w:ascii="Times New Roman" w:eastAsia="Times New Roman" w:hAnsi="Times New Roman" w:cs="Times New Roman"/>
          <w:i/>
          <w:iCs/>
          <w:color w:val="1B1B1B"/>
          <w:sz w:val="24"/>
          <w:szCs w:val="24"/>
          <w:highlight w:val="white"/>
        </w:rPr>
        <w:t xml:space="preserve"> BCR</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14</w:t>
      </w:r>
      <w:r>
        <w:rPr>
          <w:rFonts w:ascii="Times New Roman" w:eastAsia="Times New Roman" w:hAnsi="Times New Roman" w:cs="Times New Roman"/>
          <w:color w:val="1B1B1B"/>
          <w:sz w:val="24"/>
          <w:szCs w:val="24"/>
          <w:highlight w:val="white"/>
        </w:rPr>
        <w:t xml:space="preserve">(6), R153. </w:t>
      </w:r>
      <w:hyperlink r:id="rId17">
        <w:r w:rsidR="007A00DD">
          <w:rPr>
            <w:rFonts w:ascii="Times New Roman" w:eastAsia="Times New Roman" w:hAnsi="Times New Roman" w:cs="Times New Roman"/>
            <w:color w:val="1155CC"/>
            <w:sz w:val="24"/>
            <w:szCs w:val="24"/>
            <w:highlight w:val="white"/>
            <w:u w:val="single"/>
          </w:rPr>
          <w:t>https://doi.org/10.1186/bcr3366</w:t>
        </w:r>
      </w:hyperlink>
    </w:p>
    <w:p w14:paraId="405BFB8E"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Caruso, J.A., Chen-</w:t>
      </w:r>
      <w:proofErr w:type="spellStart"/>
      <w:r>
        <w:rPr>
          <w:rFonts w:ascii="Times New Roman" w:eastAsia="Times New Roman" w:hAnsi="Times New Roman" w:cs="Times New Roman"/>
          <w:color w:val="212121"/>
          <w:sz w:val="24"/>
          <w:szCs w:val="24"/>
          <w:highlight w:val="white"/>
        </w:rPr>
        <w:t>Tanyolac</w:t>
      </w:r>
      <w:proofErr w:type="spellEnd"/>
      <w:r>
        <w:rPr>
          <w:rFonts w:ascii="Times New Roman" w:eastAsia="Times New Roman" w:hAnsi="Times New Roman" w:cs="Times New Roman"/>
          <w:color w:val="212121"/>
          <w:sz w:val="24"/>
          <w:szCs w:val="24"/>
          <w:highlight w:val="white"/>
        </w:rPr>
        <w:t xml:space="preserve">, C. &amp; </w:t>
      </w:r>
      <w:proofErr w:type="spellStart"/>
      <w:r>
        <w:rPr>
          <w:rFonts w:ascii="Times New Roman" w:eastAsia="Times New Roman" w:hAnsi="Times New Roman" w:cs="Times New Roman"/>
          <w:color w:val="212121"/>
          <w:sz w:val="24"/>
          <w:szCs w:val="24"/>
          <w:highlight w:val="white"/>
        </w:rPr>
        <w:t>Tlsty</w:t>
      </w:r>
      <w:proofErr w:type="spellEnd"/>
      <w:r>
        <w:rPr>
          <w:rFonts w:ascii="Times New Roman" w:eastAsia="Times New Roman" w:hAnsi="Times New Roman" w:cs="Times New Roman"/>
          <w:color w:val="212121"/>
          <w:sz w:val="24"/>
          <w:szCs w:val="24"/>
          <w:highlight w:val="white"/>
        </w:rPr>
        <w:t>, T.D. A hybrid epithelial-mesenchymal transition program enables basal epithelial cells to bypass stress-induced stasis and contributes to a metaplastic breast cancer progenitor state. Breast Cancer Res 26, 184 (2024). https://doi.org/10.1186/s13058-024-01920-8</w:t>
      </w:r>
    </w:p>
    <w:p w14:paraId="23CE58AB" w14:textId="77777777" w:rsidR="007A00DD" w:rsidRDefault="00000000">
      <w:pPr>
        <w:numPr>
          <w:ilvl w:val="0"/>
          <w:numId w:val="2"/>
        </w:numPr>
        <w:spacing w:after="240" w:line="480" w:lineRule="auto"/>
        <w:jc w:val="both"/>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lastRenderedPageBreak/>
        <w:t xml:space="preserve">Cazzaniga, M., Varricchio, C., </w:t>
      </w:r>
      <w:proofErr w:type="spellStart"/>
      <w:r>
        <w:rPr>
          <w:rFonts w:ascii="Times New Roman" w:eastAsia="Times New Roman" w:hAnsi="Times New Roman" w:cs="Times New Roman"/>
          <w:color w:val="1B1B1B"/>
          <w:sz w:val="24"/>
          <w:szCs w:val="24"/>
          <w:highlight w:val="white"/>
        </w:rPr>
        <w:t>Montefrancesco</w:t>
      </w:r>
      <w:proofErr w:type="spellEnd"/>
      <w:r>
        <w:rPr>
          <w:rFonts w:ascii="Times New Roman" w:eastAsia="Times New Roman" w:hAnsi="Times New Roman" w:cs="Times New Roman"/>
          <w:color w:val="1B1B1B"/>
          <w:sz w:val="24"/>
          <w:szCs w:val="24"/>
          <w:highlight w:val="white"/>
        </w:rPr>
        <w:t xml:space="preserve">, C., Feroce, I., &amp; Guerrieri-Gonzaga, A. (2012). </w:t>
      </w:r>
      <w:proofErr w:type="spellStart"/>
      <w:r>
        <w:rPr>
          <w:rFonts w:ascii="Times New Roman" w:eastAsia="Times New Roman" w:hAnsi="Times New Roman" w:cs="Times New Roman"/>
          <w:color w:val="1B1B1B"/>
          <w:sz w:val="24"/>
          <w:szCs w:val="24"/>
          <w:highlight w:val="white"/>
        </w:rPr>
        <w:t>Fenretinide</w:t>
      </w:r>
      <w:proofErr w:type="spellEnd"/>
      <w:r>
        <w:rPr>
          <w:rFonts w:ascii="Times New Roman" w:eastAsia="Times New Roman" w:hAnsi="Times New Roman" w:cs="Times New Roman"/>
          <w:color w:val="1B1B1B"/>
          <w:sz w:val="24"/>
          <w:szCs w:val="24"/>
          <w:highlight w:val="white"/>
        </w:rPr>
        <w:t xml:space="preserve"> (4-HPR): a preventive chance for women at genetic and familial </w:t>
      </w:r>
      <w:proofErr w:type="gramStart"/>
      <w:r>
        <w:rPr>
          <w:rFonts w:ascii="Times New Roman" w:eastAsia="Times New Roman" w:hAnsi="Times New Roman" w:cs="Times New Roman"/>
          <w:color w:val="1B1B1B"/>
          <w:sz w:val="24"/>
          <w:szCs w:val="24"/>
          <w:highlight w:val="white"/>
        </w:rPr>
        <w:t>risk?.</w:t>
      </w:r>
      <w:proofErr w:type="gramEnd"/>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Journal of biomedicine &amp; biotechnology</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2012</w:t>
      </w:r>
      <w:r>
        <w:rPr>
          <w:rFonts w:ascii="Times New Roman" w:eastAsia="Times New Roman" w:hAnsi="Times New Roman" w:cs="Times New Roman"/>
          <w:color w:val="1B1B1B"/>
          <w:sz w:val="24"/>
          <w:szCs w:val="24"/>
          <w:highlight w:val="white"/>
        </w:rPr>
        <w:t>, 172897. https://doi.org/10.1155/2012/172897</w:t>
      </w:r>
    </w:p>
    <w:p w14:paraId="3E2C690B"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Chen, Q., Zou, J., He, Y., Pan, Y., Yang, G., Zhao, H., Huang, Y., Zhao, Y., Wang, A., Chen, W., &amp; Lu, Y. (2022). A narrative review of circulating tumor cells clusters: A key morphology of cancer cells in circulation </w:t>
      </w:r>
      <w:proofErr w:type="gramStart"/>
      <w:r>
        <w:rPr>
          <w:rFonts w:ascii="Times New Roman" w:eastAsia="Times New Roman" w:hAnsi="Times New Roman" w:cs="Times New Roman"/>
          <w:color w:val="212121"/>
          <w:sz w:val="24"/>
          <w:szCs w:val="24"/>
          <w:highlight w:val="white"/>
        </w:rPr>
        <w:t>promote</w:t>
      </w:r>
      <w:proofErr w:type="gramEnd"/>
      <w:r>
        <w:rPr>
          <w:rFonts w:ascii="Times New Roman" w:eastAsia="Times New Roman" w:hAnsi="Times New Roman" w:cs="Times New Roman"/>
          <w:color w:val="212121"/>
          <w:sz w:val="24"/>
          <w:szCs w:val="24"/>
          <w:highlight w:val="white"/>
        </w:rPr>
        <w:t xml:space="preserve"> hematogenous metastasis. Frontiers in oncology, 12, 944487. https://doi.org/10.3389/fonc.2022.944487</w:t>
      </w:r>
    </w:p>
    <w:p w14:paraId="48C6AB6E" w14:textId="77777777" w:rsidR="007A00DD" w:rsidRDefault="00000000">
      <w:pPr>
        <w:numPr>
          <w:ilvl w:val="0"/>
          <w:numId w:val="2"/>
        </w:numPr>
        <w:spacing w:after="240" w:line="480" w:lineRule="auto"/>
        <w:jc w:val="both"/>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Chen, S. Y., Chao, C. N., Huang, H. Y., &amp; Fang, C. Y. (2022). Auranofin induces urothelial carcinoma cell death via reactive oxygen species production and synergy with cisplatin. </w:t>
      </w:r>
      <w:r>
        <w:rPr>
          <w:rFonts w:ascii="Times New Roman" w:eastAsia="Times New Roman" w:hAnsi="Times New Roman" w:cs="Times New Roman"/>
          <w:i/>
          <w:iCs/>
          <w:color w:val="1B1B1B"/>
          <w:sz w:val="24"/>
          <w:szCs w:val="24"/>
          <w:highlight w:val="white"/>
        </w:rPr>
        <w:t>Oncology letters</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23</w:t>
      </w:r>
      <w:r>
        <w:rPr>
          <w:rFonts w:ascii="Times New Roman" w:eastAsia="Times New Roman" w:hAnsi="Times New Roman" w:cs="Times New Roman"/>
          <w:color w:val="1B1B1B"/>
          <w:sz w:val="24"/>
          <w:szCs w:val="24"/>
          <w:highlight w:val="white"/>
        </w:rPr>
        <w:t xml:space="preserve">(2), 61. </w:t>
      </w:r>
      <w:hyperlink r:id="rId18">
        <w:r w:rsidR="007A00DD">
          <w:rPr>
            <w:rFonts w:ascii="Times New Roman" w:eastAsia="Times New Roman" w:hAnsi="Times New Roman" w:cs="Times New Roman"/>
            <w:color w:val="1155CC"/>
            <w:sz w:val="24"/>
            <w:szCs w:val="24"/>
            <w:highlight w:val="white"/>
            <w:u w:val="single"/>
          </w:rPr>
          <w:t>https://doi.org/10.3892/ol.2021.13179</w:t>
        </w:r>
      </w:hyperlink>
    </w:p>
    <w:p w14:paraId="08AB6C09"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Chen, W. J., Zhong, H. T., Wu, H. T., Hou, Y. Y., Wu, Z., Fang, Z. X., &amp; Liu, J. (2024). NOTCH3 inhibits transcription factor ZEB1 expression and metastasis of breast cancer cells via transcriptionally upregulating miR-223. </w:t>
      </w:r>
      <w:r>
        <w:rPr>
          <w:rFonts w:ascii="Times New Roman" w:eastAsia="Times New Roman" w:hAnsi="Times New Roman" w:cs="Times New Roman"/>
          <w:i/>
          <w:iCs/>
          <w:color w:val="212121"/>
          <w:sz w:val="24"/>
          <w:szCs w:val="24"/>
          <w:highlight w:val="white"/>
        </w:rPr>
        <w:t>Journal of Cancer</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15</w:t>
      </w:r>
      <w:r>
        <w:rPr>
          <w:rFonts w:ascii="Times New Roman" w:eastAsia="Times New Roman" w:hAnsi="Times New Roman" w:cs="Times New Roman"/>
          <w:color w:val="212121"/>
          <w:sz w:val="24"/>
          <w:szCs w:val="24"/>
          <w:highlight w:val="white"/>
        </w:rPr>
        <w:t xml:space="preserve">(1), 192–203. </w:t>
      </w:r>
      <w:hyperlink r:id="rId19">
        <w:r w:rsidR="007A00DD">
          <w:rPr>
            <w:rFonts w:ascii="Times New Roman" w:eastAsia="Times New Roman" w:hAnsi="Times New Roman" w:cs="Times New Roman"/>
            <w:color w:val="1155CC"/>
            <w:sz w:val="24"/>
            <w:szCs w:val="24"/>
            <w:highlight w:val="white"/>
            <w:u w:val="single"/>
          </w:rPr>
          <w:t>https://doi.org/10.7150/jca.89034</w:t>
        </w:r>
      </w:hyperlink>
    </w:p>
    <w:p w14:paraId="335C5D47"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Corsello, S. M., Nagari, R. T., Spangler, R. D., Rossen, J., Kocak, M., Bryan, J. G., Humeidi, R., Peck, D., Wu, X., Tang, A. A., Wang, V. M., ... &amp; Golub, T. R. (2020). Discovering the anti-cancer potential of non-oncology drugs by systematic viability profiling. </w:t>
      </w:r>
      <w:r>
        <w:rPr>
          <w:rFonts w:ascii="Times New Roman" w:eastAsia="Times New Roman" w:hAnsi="Times New Roman" w:cs="Times New Roman"/>
          <w:i/>
          <w:iCs/>
          <w:color w:val="212121"/>
          <w:sz w:val="24"/>
          <w:szCs w:val="24"/>
          <w:highlight w:val="white"/>
        </w:rPr>
        <w:t>Nature Cancer</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w:t>
      </w:r>
      <w:r>
        <w:rPr>
          <w:rFonts w:ascii="Times New Roman" w:eastAsia="Times New Roman" w:hAnsi="Times New Roman" w:cs="Times New Roman"/>
          <w:color w:val="212121"/>
          <w:sz w:val="24"/>
          <w:szCs w:val="24"/>
          <w:highlight w:val="white"/>
        </w:rPr>
        <w:t>(3), 235–248.</w:t>
      </w:r>
      <w:hyperlink r:id="rId20">
        <w:r w:rsidR="007A00DD">
          <w:rPr>
            <w:rFonts w:ascii="Times New Roman" w:eastAsia="Times New Roman" w:hAnsi="Times New Roman" w:cs="Times New Roman"/>
            <w:color w:val="212121"/>
            <w:sz w:val="24"/>
            <w:szCs w:val="24"/>
            <w:highlight w:val="white"/>
          </w:rPr>
          <w:t xml:space="preserve"> </w:t>
        </w:r>
      </w:hyperlink>
      <w:hyperlink r:id="rId21">
        <w:r w:rsidR="007A00DD">
          <w:rPr>
            <w:rFonts w:ascii="Times New Roman" w:eastAsia="Times New Roman" w:hAnsi="Times New Roman" w:cs="Times New Roman"/>
            <w:color w:val="1155CC"/>
            <w:sz w:val="24"/>
            <w:szCs w:val="24"/>
            <w:highlight w:val="white"/>
            <w:u w:val="single"/>
          </w:rPr>
          <w:t>https://doi.org/10.1038/s43018-019-0018-6</w:t>
        </w:r>
      </w:hyperlink>
    </w:p>
    <w:p w14:paraId="7973359F"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Costigan, A., </w:t>
      </w:r>
      <w:proofErr w:type="spellStart"/>
      <w:r>
        <w:rPr>
          <w:rFonts w:ascii="Times New Roman" w:eastAsia="Times New Roman" w:hAnsi="Times New Roman" w:cs="Times New Roman"/>
          <w:color w:val="212121"/>
          <w:sz w:val="24"/>
          <w:szCs w:val="24"/>
          <w:highlight w:val="white"/>
        </w:rPr>
        <w:t>Hollville</w:t>
      </w:r>
      <w:proofErr w:type="spellEnd"/>
      <w:r>
        <w:rPr>
          <w:rFonts w:ascii="Times New Roman" w:eastAsia="Times New Roman" w:hAnsi="Times New Roman" w:cs="Times New Roman"/>
          <w:color w:val="212121"/>
          <w:sz w:val="24"/>
          <w:szCs w:val="24"/>
          <w:highlight w:val="white"/>
        </w:rPr>
        <w:t xml:space="preserve">, E., &amp; Martin, S. J. (2023). Discriminating between apoptosis, necrosis, necroptosis, and ferroptosis by microscopy and flow cytometry. Current Protocols, 3, e951. </w:t>
      </w:r>
      <w:proofErr w:type="spellStart"/>
      <w:r>
        <w:rPr>
          <w:rFonts w:ascii="Times New Roman" w:eastAsia="Times New Roman" w:hAnsi="Times New Roman" w:cs="Times New Roman"/>
          <w:color w:val="212121"/>
          <w:sz w:val="24"/>
          <w:szCs w:val="24"/>
          <w:highlight w:val="white"/>
        </w:rPr>
        <w:t>doi</w:t>
      </w:r>
      <w:proofErr w:type="spellEnd"/>
      <w:r>
        <w:rPr>
          <w:rFonts w:ascii="Times New Roman" w:eastAsia="Times New Roman" w:hAnsi="Times New Roman" w:cs="Times New Roman"/>
          <w:color w:val="212121"/>
          <w:sz w:val="24"/>
          <w:szCs w:val="24"/>
          <w:highlight w:val="white"/>
        </w:rPr>
        <w:t>: 10.1002/cpz1.951</w:t>
      </w:r>
    </w:p>
    <w:p w14:paraId="53DD03E1"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lastRenderedPageBreak/>
        <w:t xml:space="preserve">Eger, A., Aigner, K., Sonderegger, S., Dampier, B., Oehler, S., Schreiber, M., Berx, G., </w:t>
      </w:r>
      <w:proofErr w:type="spellStart"/>
      <w:r>
        <w:rPr>
          <w:rFonts w:ascii="Times New Roman" w:eastAsia="Times New Roman" w:hAnsi="Times New Roman" w:cs="Times New Roman"/>
          <w:color w:val="212121"/>
          <w:sz w:val="24"/>
          <w:szCs w:val="24"/>
          <w:highlight w:val="white"/>
        </w:rPr>
        <w:t>Cano</w:t>
      </w:r>
      <w:proofErr w:type="spellEnd"/>
      <w:r>
        <w:rPr>
          <w:rFonts w:ascii="Times New Roman" w:eastAsia="Times New Roman" w:hAnsi="Times New Roman" w:cs="Times New Roman"/>
          <w:color w:val="212121"/>
          <w:sz w:val="24"/>
          <w:szCs w:val="24"/>
          <w:highlight w:val="white"/>
        </w:rPr>
        <w:t xml:space="preserve">, A., </w:t>
      </w:r>
      <w:proofErr w:type="spellStart"/>
      <w:r>
        <w:rPr>
          <w:rFonts w:ascii="Times New Roman" w:eastAsia="Times New Roman" w:hAnsi="Times New Roman" w:cs="Times New Roman"/>
          <w:color w:val="212121"/>
          <w:sz w:val="24"/>
          <w:szCs w:val="24"/>
          <w:highlight w:val="white"/>
        </w:rPr>
        <w:t>Beug</w:t>
      </w:r>
      <w:proofErr w:type="spellEnd"/>
      <w:r>
        <w:rPr>
          <w:rFonts w:ascii="Times New Roman" w:eastAsia="Times New Roman" w:hAnsi="Times New Roman" w:cs="Times New Roman"/>
          <w:color w:val="212121"/>
          <w:sz w:val="24"/>
          <w:szCs w:val="24"/>
          <w:highlight w:val="white"/>
        </w:rPr>
        <w:t xml:space="preserve">, H., &amp; </w:t>
      </w:r>
      <w:proofErr w:type="spellStart"/>
      <w:r>
        <w:rPr>
          <w:rFonts w:ascii="Times New Roman" w:eastAsia="Times New Roman" w:hAnsi="Times New Roman" w:cs="Times New Roman"/>
          <w:color w:val="212121"/>
          <w:sz w:val="24"/>
          <w:szCs w:val="24"/>
          <w:highlight w:val="white"/>
        </w:rPr>
        <w:t>Foisner</w:t>
      </w:r>
      <w:proofErr w:type="spellEnd"/>
      <w:r>
        <w:rPr>
          <w:rFonts w:ascii="Times New Roman" w:eastAsia="Times New Roman" w:hAnsi="Times New Roman" w:cs="Times New Roman"/>
          <w:color w:val="212121"/>
          <w:sz w:val="24"/>
          <w:szCs w:val="24"/>
          <w:highlight w:val="white"/>
        </w:rPr>
        <w:t xml:space="preserve">, R. (2005). DeltaEF1 is a transcriptional repressor of E-cadherin and regulates epithelial plasticity in breast cancer cells. </w:t>
      </w:r>
      <w:r>
        <w:rPr>
          <w:rFonts w:ascii="Times New Roman" w:eastAsia="Times New Roman" w:hAnsi="Times New Roman" w:cs="Times New Roman"/>
          <w:i/>
          <w:iCs/>
          <w:color w:val="212121"/>
          <w:sz w:val="24"/>
          <w:szCs w:val="24"/>
          <w:highlight w:val="white"/>
        </w:rPr>
        <w:t>Oncogene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24</w:t>
      </w:r>
      <w:r>
        <w:rPr>
          <w:rFonts w:ascii="Times New Roman" w:eastAsia="Times New Roman" w:hAnsi="Times New Roman" w:cs="Times New Roman"/>
          <w:color w:val="212121"/>
          <w:sz w:val="24"/>
          <w:szCs w:val="24"/>
          <w:highlight w:val="white"/>
        </w:rPr>
        <w:t>(14), 2375–2385.</w:t>
      </w:r>
      <w:hyperlink r:id="rId22">
        <w:r w:rsidR="007A00DD">
          <w:rPr>
            <w:rFonts w:ascii="Times New Roman" w:eastAsia="Times New Roman" w:hAnsi="Times New Roman" w:cs="Times New Roman"/>
            <w:color w:val="212121"/>
            <w:sz w:val="24"/>
            <w:szCs w:val="24"/>
            <w:highlight w:val="white"/>
          </w:rPr>
          <w:t xml:space="preserve"> </w:t>
        </w:r>
      </w:hyperlink>
      <w:hyperlink r:id="rId23">
        <w:r w:rsidR="007A00DD">
          <w:rPr>
            <w:rFonts w:ascii="Times New Roman" w:eastAsia="Times New Roman" w:hAnsi="Times New Roman" w:cs="Times New Roman"/>
            <w:color w:val="1155CC"/>
            <w:sz w:val="24"/>
            <w:szCs w:val="24"/>
            <w:highlight w:val="white"/>
            <w:u w:val="single"/>
          </w:rPr>
          <w:t>https://doi.org/10.1038/sj.onc.1208429</w:t>
        </w:r>
      </w:hyperlink>
    </w:p>
    <w:p w14:paraId="60EAB6F6"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Fedorova, O., Daks, A., </w:t>
      </w:r>
      <w:proofErr w:type="spellStart"/>
      <w:r>
        <w:rPr>
          <w:rFonts w:ascii="Times New Roman" w:eastAsia="Times New Roman" w:hAnsi="Times New Roman" w:cs="Times New Roman"/>
          <w:color w:val="212121"/>
          <w:sz w:val="24"/>
          <w:szCs w:val="24"/>
          <w:highlight w:val="white"/>
        </w:rPr>
        <w:t>Parfenyev</w:t>
      </w:r>
      <w:proofErr w:type="spellEnd"/>
      <w:r>
        <w:rPr>
          <w:rFonts w:ascii="Times New Roman" w:eastAsia="Times New Roman" w:hAnsi="Times New Roman" w:cs="Times New Roman"/>
          <w:color w:val="212121"/>
          <w:sz w:val="24"/>
          <w:szCs w:val="24"/>
          <w:highlight w:val="white"/>
        </w:rPr>
        <w:t xml:space="preserve">, S., Shuvalov, O., </w:t>
      </w:r>
      <w:proofErr w:type="spellStart"/>
      <w:r>
        <w:rPr>
          <w:rFonts w:ascii="Times New Roman" w:eastAsia="Times New Roman" w:hAnsi="Times New Roman" w:cs="Times New Roman"/>
          <w:color w:val="212121"/>
          <w:sz w:val="24"/>
          <w:szCs w:val="24"/>
          <w:highlight w:val="white"/>
        </w:rPr>
        <w:t>Netsvetay</w:t>
      </w:r>
      <w:proofErr w:type="spellEnd"/>
      <w:r>
        <w:rPr>
          <w:rFonts w:ascii="Times New Roman" w:eastAsia="Times New Roman" w:hAnsi="Times New Roman" w:cs="Times New Roman"/>
          <w:color w:val="212121"/>
          <w:sz w:val="24"/>
          <w:szCs w:val="24"/>
          <w:highlight w:val="white"/>
        </w:rPr>
        <w:t xml:space="preserve">, S., Vasileva, J., </w:t>
      </w:r>
      <w:proofErr w:type="spellStart"/>
      <w:r>
        <w:rPr>
          <w:rFonts w:ascii="Times New Roman" w:eastAsia="Times New Roman" w:hAnsi="Times New Roman" w:cs="Times New Roman"/>
          <w:color w:val="212121"/>
          <w:sz w:val="24"/>
          <w:szCs w:val="24"/>
          <w:highlight w:val="white"/>
        </w:rPr>
        <w:t>Gudovich</w:t>
      </w:r>
      <w:proofErr w:type="spellEnd"/>
      <w:r>
        <w:rPr>
          <w:rFonts w:ascii="Times New Roman" w:eastAsia="Times New Roman" w:hAnsi="Times New Roman" w:cs="Times New Roman"/>
          <w:color w:val="212121"/>
          <w:sz w:val="24"/>
          <w:szCs w:val="24"/>
          <w:highlight w:val="white"/>
        </w:rPr>
        <w:t xml:space="preserve">, A., </w:t>
      </w:r>
      <w:proofErr w:type="spellStart"/>
      <w:r>
        <w:rPr>
          <w:rFonts w:ascii="Times New Roman" w:eastAsia="Times New Roman" w:hAnsi="Times New Roman" w:cs="Times New Roman"/>
          <w:color w:val="212121"/>
          <w:sz w:val="24"/>
          <w:szCs w:val="24"/>
          <w:highlight w:val="white"/>
        </w:rPr>
        <w:t>Golotin</w:t>
      </w:r>
      <w:proofErr w:type="spellEnd"/>
      <w:r>
        <w:rPr>
          <w:rFonts w:ascii="Times New Roman" w:eastAsia="Times New Roman" w:hAnsi="Times New Roman" w:cs="Times New Roman"/>
          <w:color w:val="212121"/>
          <w:sz w:val="24"/>
          <w:szCs w:val="24"/>
          <w:highlight w:val="white"/>
        </w:rPr>
        <w:t xml:space="preserve">, V., Semenov, O., Petukhov, A., </w:t>
      </w:r>
      <w:proofErr w:type="spellStart"/>
      <w:r>
        <w:rPr>
          <w:rFonts w:ascii="Times New Roman" w:eastAsia="Times New Roman" w:hAnsi="Times New Roman" w:cs="Times New Roman"/>
          <w:color w:val="212121"/>
          <w:sz w:val="24"/>
          <w:szCs w:val="24"/>
          <w:highlight w:val="white"/>
        </w:rPr>
        <w:t>Baiduik</w:t>
      </w:r>
      <w:proofErr w:type="spellEnd"/>
      <w:r>
        <w:rPr>
          <w:rFonts w:ascii="Times New Roman" w:eastAsia="Times New Roman" w:hAnsi="Times New Roman" w:cs="Times New Roman"/>
          <w:color w:val="212121"/>
          <w:sz w:val="24"/>
          <w:szCs w:val="24"/>
          <w:highlight w:val="white"/>
        </w:rPr>
        <w:t xml:space="preserve">, E., </w:t>
      </w:r>
      <w:proofErr w:type="spellStart"/>
      <w:r>
        <w:rPr>
          <w:rFonts w:ascii="Times New Roman" w:eastAsia="Times New Roman" w:hAnsi="Times New Roman" w:cs="Times New Roman"/>
          <w:color w:val="212121"/>
          <w:sz w:val="24"/>
          <w:szCs w:val="24"/>
          <w:highlight w:val="white"/>
        </w:rPr>
        <w:t>Berdigaliyev</w:t>
      </w:r>
      <w:proofErr w:type="spellEnd"/>
      <w:r>
        <w:rPr>
          <w:rFonts w:ascii="Times New Roman" w:eastAsia="Times New Roman" w:hAnsi="Times New Roman" w:cs="Times New Roman"/>
          <w:color w:val="212121"/>
          <w:sz w:val="24"/>
          <w:szCs w:val="24"/>
          <w:highlight w:val="white"/>
        </w:rPr>
        <w:t xml:space="preserve">, N., Tulchinsky, E. M., &amp; Barlev, N. A. (2022). Zeb1-mediated autophagy enhances resistance of breast cancer cells to genotoxic drugs. </w:t>
      </w:r>
      <w:r>
        <w:rPr>
          <w:rFonts w:ascii="Times New Roman" w:eastAsia="Times New Roman" w:hAnsi="Times New Roman" w:cs="Times New Roman"/>
          <w:i/>
          <w:iCs/>
          <w:color w:val="212121"/>
          <w:sz w:val="24"/>
          <w:szCs w:val="24"/>
          <w:highlight w:val="white"/>
        </w:rPr>
        <w:t>Biochemical and Biophysical Research Communications</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589</w:t>
      </w:r>
      <w:r>
        <w:rPr>
          <w:rFonts w:ascii="Times New Roman" w:eastAsia="Times New Roman" w:hAnsi="Times New Roman" w:cs="Times New Roman"/>
          <w:color w:val="212121"/>
          <w:sz w:val="24"/>
          <w:szCs w:val="24"/>
          <w:highlight w:val="white"/>
        </w:rPr>
        <w:t>, 29–34.</w:t>
      </w:r>
      <w:hyperlink r:id="rId24">
        <w:r w:rsidR="007A00DD">
          <w:rPr>
            <w:rFonts w:ascii="Times New Roman" w:eastAsia="Times New Roman" w:hAnsi="Times New Roman" w:cs="Times New Roman"/>
            <w:color w:val="212121"/>
            <w:sz w:val="24"/>
            <w:szCs w:val="24"/>
            <w:highlight w:val="white"/>
          </w:rPr>
          <w:t xml:space="preserve"> </w:t>
        </w:r>
      </w:hyperlink>
      <w:hyperlink r:id="rId25">
        <w:r w:rsidR="007A00DD">
          <w:rPr>
            <w:rFonts w:ascii="Times New Roman" w:eastAsia="Times New Roman" w:hAnsi="Times New Roman" w:cs="Times New Roman"/>
            <w:color w:val="1155CC"/>
            <w:sz w:val="24"/>
            <w:szCs w:val="24"/>
            <w:highlight w:val="white"/>
            <w:u w:val="single"/>
          </w:rPr>
          <w:t>https://doi.org/10.1016/j.bbrc.2021.11.088</w:t>
        </w:r>
      </w:hyperlink>
    </w:p>
    <w:p w14:paraId="2779EE9C" w14:textId="77777777" w:rsidR="007A00DD" w:rsidRDefault="00000000">
      <w:pPr>
        <w:numPr>
          <w:ilvl w:val="0"/>
          <w:numId w:val="2"/>
        </w:numPr>
        <w:spacing w:after="240" w:line="480" w:lineRule="auto"/>
        <w:jc w:val="both"/>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222222"/>
          <w:sz w:val="24"/>
          <w:szCs w:val="24"/>
          <w:highlight w:val="white"/>
        </w:rPr>
        <w:t xml:space="preserve">Galassi, R., Luciani, L., Wang, J., </w:t>
      </w:r>
      <w:proofErr w:type="spellStart"/>
      <w:r>
        <w:rPr>
          <w:rFonts w:ascii="Times New Roman" w:eastAsia="Times New Roman" w:hAnsi="Times New Roman" w:cs="Times New Roman"/>
          <w:color w:val="222222"/>
          <w:sz w:val="24"/>
          <w:szCs w:val="24"/>
          <w:highlight w:val="white"/>
        </w:rPr>
        <w:t>Vincenzetti</w:t>
      </w:r>
      <w:proofErr w:type="spellEnd"/>
      <w:r>
        <w:rPr>
          <w:rFonts w:ascii="Times New Roman" w:eastAsia="Times New Roman" w:hAnsi="Times New Roman" w:cs="Times New Roman"/>
          <w:color w:val="222222"/>
          <w:sz w:val="24"/>
          <w:szCs w:val="24"/>
          <w:highlight w:val="white"/>
        </w:rPr>
        <w:t xml:space="preserve">, S., Cui, L., Amici, A., Pucciarelli, S., &amp; Marchini, C. (2022). Breast Cancer Treatment: The Case of Gold(I)-Based Compounds as a Promising Class of Bioactive Molecules. </w:t>
      </w:r>
      <w:r>
        <w:rPr>
          <w:rFonts w:ascii="Times New Roman" w:eastAsia="Times New Roman" w:hAnsi="Times New Roman" w:cs="Times New Roman"/>
          <w:i/>
          <w:iCs/>
          <w:color w:val="222222"/>
          <w:sz w:val="24"/>
          <w:szCs w:val="24"/>
          <w:highlight w:val="white"/>
        </w:rPr>
        <w:t>Biomolecules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iCs/>
          <w:color w:val="222222"/>
          <w:sz w:val="24"/>
          <w:szCs w:val="24"/>
          <w:highlight w:val="white"/>
        </w:rPr>
        <w:t>12</w:t>
      </w:r>
      <w:r>
        <w:rPr>
          <w:rFonts w:ascii="Times New Roman" w:eastAsia="Times New Roman" w:hAnsi="Times New Roman" w:cs="Times New Roman"/>
          <w:color w:val="222222"/>
          <w:sz w:val="24"/>
          <w:szCs w:val="24"/>
          <w:highlight w:val="white"/>
        </w:rPr>
        <w:t xml:space="preserve">(1), 80. </w:t>
      </w:r>
      <w:hyperlink r:id="rId26">
        <w:r w:rsidR="007A00DD">
          <w:rPr>
            <w:rFonts w:ascii="Times New Roman" w:eastAsia="Times New Roman" w:hAnsi="Times New Roman" w:cs="Times New Roman"/>
            <w:color w:val="1155CC"/>
            <w:sz w:val="24"/>
            <w:szCs w:val="24"/>
            <w:highlight w:val="white"/>
            <w:u w:val="single"/>
          </w:rPr>
          <w:t>https://doi.org/10.3390/biom12010080</w:t>
        </w:r>
      </w:hyperlink>
    </w:p>
    <w:p w14:paraId="0BC39816"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Gomez-Larrauri, A., Das Adhikari, U., Aramburu-Nuñez, M., Custodia, A., &amp; Ouro, A. (2021). Ceramide Metabolism Enzymes-Therapeutic Targets against Cancer. </w:t>
      </w:r>
      <w:r>
        <w:rPr>
          <w:rFonts w:ascii="Times New Roman" w:eastAsia="Times New Roman" w:hAnsi="Times New Roman" w:cs="Times New Roman"/>
          <w:i/>
          <w:iCs/>
          <w:color w:val="212121"/>
          <w:sz w:val="24"/>
          <w:szCs w:val="24"/>
          <w:highlight w:val="white"/>
        </w:rPr>
        <w:t>Medicina (Kaunas, Lithuania)</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57</w:t>
      </w:r>
      <w:r>
        <w:rPr>
          <w:rFonts w:ascii="Times New Roman" w:eastAsia="Times New Roman" w:hAnsi="Times New Roman" w:cs="Times New Roman"/>
          <w:color w:val="212121"/>
          <w:sz w:val="24"/>
          <w:szCs w:val="24"/>
          <w:highlight w:val="white"/>
        </w:rPr>
        <w:t xml:space="preserve">(7), 729. </w:t>
      </w:r>
      <w:hyperlink r:id="rId27">
        <w:r w:rsidR="007A00DD">
          <w:rPr>
            <w:rFonts w:ascii="Times New Roman" w:eastAsia="Times New Roman" w:hAnsi="Times New Roman" w:cs="Times New Roman"/>
            <w:color w:val="1155CC"/>
            <w:sz w:val="24"/>
            <w:szCs w:val="24"/>
            <w:highlight w:val="white"/>
            <w:u w:val="single"/>
          </w:rPr>
          <w:t>https://doi.org/10.3390/medicina57070729</w:t>
        </w:r>
      </w:hyperlink>
    </w:p>
    <w:p w14:paraId="69AE4D6B"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proofErr w:type="spellStart"/>
      <w:r>
        <w:rPr>
          <w:rFonts w:ascii="Times New Roman" w:eastAsia="Times New Roman" w:hAnsi="Times New Roman" w:cs="Times New Roman"/>
          <w:color w:val="212121"/>
          <w:sz w:val="24"/>
          <w:szCs w:val="24"/>
          <w:highlight w:val="white"/>
        </w:rPr>
        <w:t>Helleday</w:t>
      </w:r>
      <w:proofErr w:type="spellEnd"/>
      <w:r>
        <w:rPr>
          <w:rFonts w:ascii="Times New Roman" w:eastAsia="Times New Roman" w:hAnsi="Times New Roman" w:cs="Times New Roman"/>
          <w:color w:val="212121"/>
          <w:sz w:val="24"/>
          <w:szCs w:val="24"/>
          <w:highlight w:val="white"/>
        </w:rPr>
        <w:t>, T., Petermann, E., Lundin, C. et al. DNA repair pathways as targets for cancer therapy. Nat Rev Cancer 8, 193–204 (2008). https://doi.org/10.1038/nrc2342</w:t>
      </w:r>
    </w:p>
    <w:p w14:paraId="5EDD025F"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Ji, N., Yang, Y., Cai, C. Y., Wang, J. Q., Lei, Z. N., Wu, Z. X., Cui, Q., Yang, D. H., Chen, Z. S., &amp; Kong, D. (2019). </w:t>
      </w:r>
      <w:proofErr w:type="spellStart"/>
      <w:r>
        <w:rPr>
          <w:rFonts w:ascii="Times New Roman" w:eastAsia="Times New Roman" w:hAnsi="Times New Roman" w:cs="Times New Roman"/>
          <w:color w:val="212121"/>
          <w:sz w:val="24"/>
          <w:szCs w:val="24"/>
          <w:highlight w:val="white"/>
        </w:rPr>
        <w:t>Midostaurin</w:t>
      </w:r>
      <w:proofErr w:type="spellEnd"/>
      <w:r>
        <w:rPr>
          <w:rFonts w:ascii="Times New Roman" w:eastAsia="Times New Roman" w:hAnsi="Times New Roman" w:cs="Times New Roman"/>
          <w:color w:val="212121"/>
          <w:sz w:val="24"/>
          <w:szCs w:val="24"/>
          <w:highlight w:val="white"/>
        </w:rPr>
        <w:t xml:space="preserve"> Reverses ABCB1-Mediated Multidrug Resistance, an </w:t>
      </w:r>
      <w:r>
        <w:rPr>
          <w:rFonts w:ascii="Times New Roman" w:eastAsia="Times New Roman" w:hAnsi="Times New Roman" w:cs="Times New Roman"/>
          <w:i/>
          <w:iCs/>
          <w:color w:val="212121"/>
          <w:sz w:val="24"/>
          <w:szCs w:val="24"/>
          <w:highlight w:val="white"/>
        </w:rPr>
        <w:t>in vitro</w:t>
      </w:r>
      <w:r>
        <w:rPr>
          <w:rFonts w:ascii="Times New Roman" w:eastAsia="Times New Roman" w:hAnsi="Times New Roman" w:cs="Times New Roman"/>
          <w:color w:val="212121"/>
          <w:sz w:val="24"/>
          <w:szCs w:val="24"/>
          <w:highlight w:val="white"/>
        </w:rPr>
        <w:t xml:space="preserve"> Study. </w:t>
      </w:r>
      <w:r>
        <w:rPr>
          <w:rFonts w:ascii="Times New Roman" w:eastAsia="Times New Roman" w:hAnsi="Times New Roman" w:cs="Times New Roman"/>
          <w:i/>
          <w:iCs/>
          <w:color w:val="212121"/>
          <w:sz w:val="24"/>
          <w:szCs w:val="24"/>
          <w:highlight w:val="white"/>
        </w:rPr>
        <w:t>Frontiers in oncology</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9</w:t>
      </w:r>
      <w:r>
        <w:rPr>
          <w:rFonts w:ascii="Times New Roman" w:eastAsia="Times New Roman" w:hAnsi="Times New Roman" w:cs="Times New Roman"/>
          <w:color w:val="212121"/>
          <w:sz w:val="24"/>
          <w:szCs w:val="24"/>
          <w:highlight w:val="white"/>
        </w:rPr>
        <w:t xml:space="preserve">, 514. </w:t>
      </w:r>
      <w:hyperlink r:id="rId28">
        <w:r w:rsidR="007A00DD">
          <w:rPr>
            <w:rFonts w:ascii="Times New Roman" w:eastAsia="Times New Roman" w:hAnsi="Times New Roman" w:cs="Times New Roman"/>
            <w:color w:val="1155CC"/>
            <w:sz w:val="24"/>
            <w:szCs w:val="24"/>
            <w:highlight w:val="white"/>
            <w:u w:val="single"/>
          </w:rPr>
          <w:t>https://doi.org/10.3389/fonc.2019.00514</w:t>
        </w:r>
      </w:hyperlink>
    </w:p>
    <w:p w14:paraId="5FB0E40E"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lastRenderedPageBreak/>
        <w:t xml:space="preserve">Joo, M. K., Shin, S., Ye, D. J., An, H. G., Kwon, T. U., Baek, H. S., Kwon, Y. J., &amp; Chun, Y. J. (2021). Combined treatment with auranofin and trametinib induces synergistic apoptosis in breast cancer cells. </w:t>
      </w:r>
      <w:r>
        <w:rPr>
          <w:rFonts w:ascii="Times New Roman" w:eastAsia="Times New Roman" w:hAnsi="Times New Roman" w:cs="Times New Roman"/>
          <w:i/>
          <w:iCs/>
          <w:color w:val="212121"/>
          <w:sz w:val="24"/>
          <w:szCs w:val="24"/>
          <w:highlight w:val="white"/>
        </w:rPr>
        <w:t>Journal of toxicology and environmental health. Part A</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84</w:t>
      </w:r>
      <w:r>
        <w:rPr>
          <w:rFonts w:ascii="Times New Roman" w:eastAsia="Times New Roman" w:hAnsi="Times New Roman" w:cs="Times New Roman"/>
          <w:color w:val="212121"/>
          <w:sz w:val="24"/>
          <w:szCs w:val="24"/>
          <w:highlight w:val="white"/>
        </w:rPr>
        <w:t xml:space="preserve">(2), 84–94. </w:t>
      </w:r>
      <w:hyperlink r:id="rId29">
        <w:r w:rsidR="007A00DD">
          <w:rPr>
            <w:rFonts w:ascii="Times New Roman" w:eastAsia="Times New Roman" w:hAnsi="Times New Roman" w:cs="Times New Roman"/>
            <w:color w:val="1155CC"/>
            <w:sz w:val="24"/>
            <w:szCs w:val="24"/>
            <w:highlight w:val="white"/>
            <w:u w:val="single"/>
          </w:rPr>
          <w:t>https://doi.org/10.1080/15287394.2020.1835762</w:t>
        </w:r>
      </w:hyperlink>
    </w:p>
    <w:p w14:paraId="2029DC5B"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Kawai, M., Nakashima, A., Kamada, S., &amp; Kikkawa, U. (2015). </w:t>
      </w:r>
      <w:proofErr w:type="spellStart"/>
      <w:r>
        <w:rPr>
          <w:rFonts w:ascii="Times New Roman" w:eastAsia="Times New Roman" w:hAnsi="Times New Roman" w:cs="Times New Roman"/>
          <w:color w:val="212121"/>
          <w:sz w:val="24"/>
          <w:szCs w:val="24"/>
          <w:highlight w:val="white"/>
        </w:rPr>
        <w:t>Midostaurin</w:t>
      </w:r>
      <w:proofErr w:type="spellEnd"/>
      <w:r>
        <w:rPr>
          <w:rFonts w:ascii="Times New Roman" w:eastAsia="Times New Roman" w:hAnsi="Times New Roman" w:cs="Times New Roman"/>
          <w:color w:val="212121"/>
          <w:sz w:val="24"/>
          <w:szCs w:val="24"/>
          <w:highlight w:val="white"/>
        </w:rPr>
        <w:t xml:space="preserve"> preferentially attenuates proliferation of triple-negative breast cancer cell lines through inhibition of Aurora kinase family. </w:t>
      </w:r>
      <w:r>
        <w:rPr>
          <w:rFonts w:ascii="Times New Roman" w:eastAsia="Times New Roman" w:hAnsi="Times New Roman" w:cs="Times New Roman"/>
          <w:i/>
          <w:iCs/>
          <w:color w:val="212121"/>
          <w:sz w:val="24"/>
          <w:szCs w:val="24"/>
          <w:highlight w:val="white"/>
        </w:rPr>
        <w:t>Journal of biomedical science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22</w:t>
      </w:r>
      <w:r>
        <w:rPr>
          <w:rFonts w:ascii="Times New Roman" w:eastAsia="Times New Roman" w:hAnsi="Times New Roman" w:cs="Times New Roman"/>
          <w:color w:val="212121"/>
          <w:sz w:val="24"/>
          <w:szCs w:val="24"/>
          <w:highlight w:val="white"/>
        </w:rPr>
        <w:t xml:space="preserve">(1), 48. </w:t>
      </w:r>
      <w:hyperlink r:id="rId30">
        <w:r w:rsidR="007A00DD">
          <w:rPr>
            <w:rFonts w:ascii="Times New Roman" w:eastAsia="Times New Roman" w:hAnsi="Times New Roman" w:cs="Times New Roman"/>
            <w:color w:val="1155CC"/>
            <w:sz w:val="24"/>
            <w:szCs w:val="24"/>
            <w:highlight w:val="white"/>
            <w:u w:val="single"/>
          </w:rPr>
          <w:t>https://doi.org/10.1186/s12929-015-0150-2</w:t>
        </w:r>
      </w:hyperlink>
    </w:p>
    <w:p w14:paraId="00F75EC9" w14:textId="77777777" w:rsidR="007A00DD" w:rsidRDefault="00000000">
      <w:pPr>
        <w:numPr>
          <w:ilvl w:val="0"/>
          <w:numId w:val="2"/>
        </w:numPr>
        <w:spacing w:after="240" w:line="480" w:lineRule="auto"/>
        <w:jc w:val="both"/>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212121"/>
          <w:sz w:val="24"/>
          <w:szCs w:val="24"/>
          <w:highlight w:val="white"/>
        </w:rPr>
        <w:t xml:space="preserve">Kim, M. H., Huh, B., Park, J. W., &amp; Park, W. J. (2026). Targeting Sphingolipids in Breast Cancer: From Tumor Biology to Therapeutic Strategies. </w:t>
      </w:r>
      <w:r>
        <w:rPr>
          <w:rFonts w:ascii="Times New Roman" w:eastAsia="Times New Roman" w:hAnsi="Times New Roman" w:cs="Times New Roman"/>
          <w:i/>
          <w:iCs/>
          <w:color w:val="212121"/>
          <w:sz w:val="24"/>
          <w:szCs w:val="24"/>
          <w:highlight w:val="white"/>
        </w:rPr>
        <w:t>Oncology research</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34</w:t>
      </w:r>
      <w:r>
        <w:rPr>
          <w:rFonts w:ascii="Times New Roman" w:eastAsia="Times New Roman" w:hAnsi="Times New Roman" w:cs="Times New Roman"/>
          <w:color w:val="212121"/>
          <w:sz w:val="24"/>
          <w:szCs w:val="24"/>
          <w:highlight w:val="white"/>
        </w:rPr>
        <w:t xml:space="preserve">(2), 6. </w:t>
      </w:r>
      <w:hyperlink r:id="rId31">
        <w:r w:rsidR="007A00DD">
          <w:rPr>
            <w:rFonts w:ascii="Times New Roman" w:eastAsia="Times New Roman" w:hAnsi="Times New Roman" w:cs="Times New Roman"/>
            <w:color w:val="1155CC"/>
            <w:sz w:val="24"/>
            <w:szCs w:val="24"/>
            <w:highlight w:val="white"/>
            <w:u w:val="single"/>
          </w:rPr>
          <w:t>https://doi.org/10.32604/or.2025.071523</w:t>
        </w:r>
      </w:hyperlink>
    </w:p>
    <w:p w14:paraId="2CFC02B0"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1B1B1B"/>
          <w:sz w:val="24"/>
          <w:szCs w:val="24"/>
          <w:highlight w:val="white"/>
        </w:rPr>
        <w:t xml:space="preserve">Kim, N. H., Park, H. J., Oh, M. K., &amp; Kim, I. S. (2013). Antiproliferative effect of gold(I) compound auranofin through inhibition of STAT3 and telomerase activity in MDA-MB 231 human breast cancer cells. </w:t>
      </w:r>
      <w:r>
        <w:rPr>
          <w:rFonts w:ascii="Times New Roman" w:eastAsia="Times New Roman" w:hAnsi="Times New Roman" w:cs="Times New Roman"/>
          <w:i/>
          <w:iCs/>
          <w:color w:val="1B1B1B"/>
          <w:sz w:val="24"/>
          <w:szCs w:val="24"/>
          <w:highlight w:val="white"/>
        </w:rPr>
        <w:t>BMB reports</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46</w:t>
      </w:r>
      <w:r>
        <w:rPr>
          <w:rFonts w:ascii="Times New Roman" w:eastAsia="Times New Roman" w:hAnsi="Times New Roman" w:cs="Times New Roman"/>
          <w:color w:val="1B1B1B"/>
          <w:sz w:val="24"/>
          <w:szCs w:val="24"/>
          <w:highlight w:val="white"/>
        </w:rPr>
        <w:t xml:space="preserve">(1), 59–64. </w:t>
      </w:r>
      <w:hyperlink r:id="rId32">
        <w:r w:rsidR="007A00DD">
          <w:rPr>
            <w:rFonts w:ascii="Times New Roman" w:eastAsia="Times New Roman" w:hAnsi="Times New Roman" w:cs="Times New Roman"/>
            <w:color w:val="1155CC"/>
            <w:sz w:val="24"/>
            <w:szCs w:val="24"/>
            <w:highlight w:val="white"/>
            <w:u w:val="single"/>
          </w:rPr>
          <w:t>https://doi.org/10.5483/bmbrep.2013.46.1.123</w:t>
        </w:r>
      </w:hyperlink>
    </w:p>
    <w:p w14:paraId="5AFFE038"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22222"/>
          <w:sz w:val="24"/>
          <w:szCs w:val="24"/>
          <w:highlight w:val="white"/>
        </w:rPr>
        <w:t xml:space="preserve">Li, Y., Cook, K. L., Yu, W., Jin, L., Bouker, K. B., Clarke, R., &amp; Hilakivi-Clarke, L. (2021). Inhibition of Antiestrogen-Promoted Pro-Survival Autophagy and Tamoxifen Resistance in Breast Cancer through Vitamin D Receptor. </w:t>
      </w:r>
      <w:r>
        <w:rPr>
          <w:rFonts w:ascii="Times New Roman" w:eastAsia="Times New Roman" w:hAnsi="Times New Roman" w:cs="Times New Roman"/>
          <w:i/>
          <w:iCs/>
          <w:color w:val="222222"/>
          <w:sz w:val="24"/>
          <w:szCs w:val="24"/>
          <w:highlight w:val="white"/>
        </w:rPr>
        <w:t>Nutrients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iCs/>
          <w:color w:val="222222"/>
          <w:sz w:val="24"/>
          <w:szCs w:val="24"/>
          <w:highlight w:val="white"/>
        </w:rPr>
        <w:t>13</w:t>
      </w:r>
      <w:r>
        <w:rPr>
          <w:rFonts w:ascii="Times New Roman" w:eastAsia="Times New Roman" w:hAnsi="Times New Roman" w:cs="Times New Roman"/>
          <w:color w:val="222222"/>
          <w:sz w:val="24"/>
          <w:szCs w:val="24"/>
          <w:highlight w:val="white"/>
        </w:rPr>
        <w:t>(5), 1715. https://doi.org/10.3390/nu13051715</w:t>
      </w:r>
    </w:p>
    <w:p w14:paraId="2549B839"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lastRenderedPageBreak/>
        <w:t xml:space="preserve">Lino, C. A., Harper, J. C., MacDonald, J. P., &amp; Brougham, R. V. (2018). Delivering CRISPR: A review of the challenges and approaches. </w:t>
      </w:r>
      <w:r>
        <w:rPr>
          <w:rFonts w:ascii="Times New Roman" w:eastAsia="Times New Roman" w:hAnsi="Times New Roman" w:cs="Times New Roman"/>
          <w:i/>
          <w:iCs/>
          <w:color w:val="212121"/>
          <w:sz w:val="24"/>
          <w:szCs w:val="24"/>
          <w:highlight w:val="white"/>
        </w:rPr>
        <w:t>Drug Delivery</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25</w:t>
      </w:r>
      <w:r>
        <w:rPr>
          <w:rFonts w:ascii="Times New Roman" w:eastAsia="Times New Roman" w:hAnsi="Times New Roman" w:cs="Times New Roman"/>
          <w:color w:val="212121"/>
          <w:sz w:val="24"/>
          <w:szCs w:val="24"/>
          <w:highlight w:val="white"/>
        </w:rPr>
        <w:t>(1), 1234–1257.</w:t>
      </w:r>
      <w:hyperlink r:id="rId33">
        <w:r w:rsidR="007A00DD">
          <w:rPr>
            <w:rFonts w:ascii="Times New Roman" w:eastAsia="Times New Roman" w:hAnsi="Times New Roman" w:cs="Times New Roman"/>
            <w:color w:val="212121"/>
            <w:sz w:val="24"/>
            <w:szCs w:val="24"/>
            <w:highlight w:val="white"/>
          </w:rPr>
          <w:t xml:space="preserve"> </w:t>
        </w:r>
      </w:hyperlink>
      <w:hyperlink r:id="rId34">
        <w:r w:rsidR="007A00DD">
          <w:rPr>
            <w:rFonts w:ascii="Times New Roman" w:eastAsia="Times New Roman" w:hAnsi="Times New Roman" w:cs="Times New Roman"/>
            <w:color w:val="1155CC"/>
            <w:sz w:val="24"/>
            <w:szCs w:val="24"/>
            <w:highlight w:val="white"/>
            <w:u w:val="single"/>
          </w:rPr>
          <w:t>https://doi.org/10.1080/10717544.2018.1474964</w:t>
        </w:r>
      </w:hyperlink>
    </w:p>
    <w:p w14:paraId="182D25D8"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Liu, C., Liu, Z., Li, M., Li, X., Wong, Y. S., Ngai, S. M., Zheng, W., Zhang, Y., &amp; Chen, T. (2013). Enhancement of auranofin-induced apoptosis in MCF-7 human breast cells by </w:t>
      </w:r>
      <w:proofErr w:type="spellStart"/>
      <w:r>
        <w:rPr>
          <w:rFonts w:ascii="Times New Roman" w:eastAsia="Times New Roman" w:hAnsi="Times New Roman" w:cs="Times New Roman"/>
          <w:color w:val="212121"/>
          <w:sz w:val="24"/>
          <w:szCs w:val="24"/>
          <w:highlight w:val="white"/>
        </w:rPr>
        <w:t>selenocystine</w:t>
      </w:r>
      <w:proofErr w:type="spellEnd"/>
      <w:r>
        <w:rPr>
          <w:rFonts w:ascii="Times New Roman" w:eastAsia="Times New Roman" w:hAnsi="Times New Roman" w:cs="Times New Roman"/>
          <w:color w:val="212121"/>
          <w:sz w:val="24"/>
          <w:szCs w:val="24"/>
          <w:highlight w:val="white"/>
        </w:rPr>
        <w:t xml:space="preserve">, a synergistic inhibitor of thioredoxin reductase. </w:t>
      </w:r>
      <w:proofErr w:type="spellStart"/>
      <w:r>
        <w:rPr>
          <w:rFonts w:ascii="Times New Roman" w:eastAsia="Times New Roman" w:hAnsi="Times New Roman" w:cs="Times New Roman"/>
          <w:i/>
          <w:iCs/>
          <w:color w:val="212121"/>
          <w:sz w:val="24"/>
          <w:szCs w:val="24"/>
          <w:highlight w:val="white"/>
        </w:rPr>
        <w:t>PloS</w:t>
      </w:r>
      <w:proofErr w:type="spellEnd"/>
      <w:r>
        <w:rPr>
          <w:rFonts w:ascii="Times New Roman" w:eastAsia="Times New Roman" w:hAnsi="Times New Roman" w:cs="Times New Roman"/>
          <w:i/>
          <w:iCs/>
          <w:color w:val="212121"/>
          <w:sz w:val="24"/>
          <w:szCs w:val="24"/>
          <w:highlight w:val="white"/>
        </w:rPr>
        <w:t xml:space="preserve"> one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8</w:t>
      </w:r>
      <w:r>
        <w:rPr>
          <w:rFonts w:ascii="Times New Roman" w:eastAsia="Times New Roman" w:hAnsi="Times New Roman" w:cs="Times New Roman"/>
          <w:color w:val="212121"/>
          <w:sz w:val="24"/>
          <w:szCs w:val="24"/>
          <w:highlight w:val="white"/>
        </w:rPr>
        <w:t xml:space="preserve">(1), e53945. </w:t>
      </w:r>
      <w:hyperlink r:id="rId35">
        <w:r w:rsidR="007A00DD">
          <w:rPr>
            <w:rFonts w:ascii="Times New Roman" w:eastAsia="Times New Roman" w:hAnsi="Times New Roman" w:cs="Times New Roman"/>
            <w:color w:val="1155CC"/>
            <w:sz w:val="24"/>
            <w:szCs w:val="24"/>
            <w:highlight w:val="white"/>
            <w:u w:val="single"/>
          </w:rPr>
          <w:t>https://doi.org/10.1371/journal.pone.0053945</w:t>
        </w:r>
      </w:hyperlink>
    </w:p>
    <w:p w14:paraId="17119FB8"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Mock, K., </w:t>
      </w:r>
      <w:proofErr w:type="spellStart"/>
      <w:r>
        <w:rPr>
          <w:rFonts w:ascii="Times New Roman" w:eastAsia="Times New Roman" w:hAnsi="Times New Roman" w:cs="Times New Roman"/>
          <w:color w:val="212121"/>
          <w:sz w:val="24"/>
          <w:szCs w:val="24"/>
          <w:highlight w:val="white"/>
        </w:rPr>
        <w:t>Preca</w:t>
      </w:r>
      <w:proofErr w:type="spellEnd"/>
      <w:r>
        <w:rPr>
          <w:rFonts w:ascii="Times New Roman" w:eastAsia="Times New Roman" w:hAnsi="Times New Roman" w:cs="Times New Roman"/>
          <w:color w:val="212121"/>
          <w:sz w:val="24"/>
          <w:szCs w:val="24"/>
          <w:highlight w:val="white"/>
        </w:rPr>
        <w:t xml:space="preserve">, B. T., Brummer, T., </w:t>
      </w:r>
      <w:proofErr w:type="spellStart"/>
      <w:r>
        <w:rPr>
          <w:rFonts w:ascii="Times New Roman" w:eastAsia="Times New Roman" w:hAnsi="Times New Roman" w:cs="Times New Roman"/>
          <w:color w:val="212121"/>
          <w:sz w:val="24"/>
          <w:szCs w:val="24"/>
          <w:highlight w:val="white"/>
        </w:rPr>
        <w:t>Brabletz</w:t>
      </w:r>
      <w:proofErr w:type="spellEnd"/>
      <w:r>
        <w:rPr>
          <w:rFonts w:ascii="Times New Roman" w:eastAsia="Times New Roman" w:hAnsi="Times New Roman" w:cs="Times New Roman"/>
          <w:color w:val="212121"/>
          <w:sz w:val="24"/>
          <w:szCs w:val="24"/>
          <w:highlight w:val="white"/>
        </w:rPr>
        <w:t xml:space="preserve">, S., Stemmler, M. P., &amp; </w:t>
      </w:r>
      <w:proofErr w:type="spellStart"/>
      <w:r>
        <w:rPr>
          <w:rFonts w:ascii="Times New Roman" w:eastAsia="Times New Roman" w:hAnsi="Times New Roman" w:cs="Times New Roman"/>
          <w:color w:val="212121"/>
          <w:sz w:val="24"/>
          <w:szCs w:val="24"/>
          <w:highlight w:val="white"/>
        </w:rPr>
        <w:t>Brabletz</w:t>
      </w:r>
      <w:proofErr w:type="spellEnd"/>
      <w:r>
        <w:rPr>
          <w:rFonts w:ascii="Times New Roman" w:eastAsia="Times New Roman" w:hAnsi="Times New Roman" w:cs="Times New Roman"/>
          <w:color w:val="212121"/>
          <w:sz w:val="24"/>
          <w:szCs w:val="24"/>
          <w:highlight w:val="white"/>
        </w:rPr>
        <w:t xml:space="preserve">, T. (2015). The EMT-activator ZEB1 induces bone metastasis associated genes including BMP-inhibitors. </w:t>
      </w:r>
      <w:proofErr w:type="spellStart"/>
      <w:r>
        <w:rPr>
          <w:rFonts w:ascii="Times New Roman" w:eastAsia="Times New Roman" w:hAnsi="Times New Roman" w:cs="Times New Roman"/>
          <w:i/>
          <w:iCs/>
          <w:color w:val="212121"/>
          <w:sz w:val="24"/>
          <w:szCs w:val="24"/>
          <w:highlight w:val="white"/>
        </w:rPr>
        <w:t>Oncotarget</w:t>
      </w:r>
      <w:proofErr w:type="spellEnd"/>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6</w:t>
      </w:r>
      <w:r>
        <w:rPr>
          <w:rFonts w:ascii="Times New Roman" w:eastAsia="Times New Roman" w:hAnsi="Times New Roman" w:cs="Times New Roman"/>
          <w:color w:val="212121"/>
          <w:sz w:val="24"/>
          <w:szCs w:val="24"/>
          <w:highlight w:val="white"/>
        </w:rPr>
        <w:t>(16), 14399–14412.</w:t>
      </w:r>
      <w:hyperlink r:id="rId36">
        <w:r w:rsidR="007A00DD">
          <w:rPr>
            <w:rFonts w:ascii="Times New Roman" w:eastAsia="Times New Roman" w:hAnsi="Times New Roman" w:cs="Times New Roman"/>
            <w:color w:val="212121"/>
            <w:sz w:val="24"/>
            <w:szCs w:val="24"/>
            <w:highlight w:val="white"/>
          </w:rPr>
          <w:t xml:space="preserve"> </w:t>
        </w:r>
      </w:hyperlink>
      <w:hyperlink r:id="rId37">
        <w:r w:rsidR="007A00DD">
          <w:rPr>
            <w:rFonts w:ascii="Times New Roman" w:eastAsia="Times New Roman" w:hAnsi="Times New Roman" w:cs="Times New Roman"/>
            <w:color w:val="1155CC"/>
            <w:sz w:val="24"/>
            <w:szCs w:val="24"/>
            <w:highlight w:val="white"/>
            <w:u w:val="single"/>
          </w:rPr>
          <w:t>https://doi.org/10.18632/oncotarget.3882</w:t>
        </w:r>
      </w:hyperlink>
    </w:p>
    <w:p w14:paraId="1A291DED"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Moyer, C. L., &amp; Brown, P. H. (2023). Targeting nuclear hormone receptors for the prevention of breast cancer. </w:t>
      </w:r>
      <w:r>
        <w:rPr>
          <w:rFonts w:ascii="Times New Roman" w:eastAsia="Times New Roman" w:hAnsi="Times New Roman" w:cs="Times New Roman"/>
          <w:i/>
          <w:iCs/>
          <w:color w:val="212121"/>
          <w:sz w:val="24"/>
          <w:szCs w:val="24"/>
          <w:highlight w:val="white"/>
        </w:rPr>
        <w:t>Frontiers in medicine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10</w:t>
      </w:r>
      <w:r>
        <w:rPr>
          <w:rFonts w:ascii="Times New Roman" w:eastAsia="Times New Roman" w:hAnsi="Times New Roman" w:cs="Times New Roman"/>
          <w:color w:val="212121"/>
          <w:sz w:val="24"/>
          <w:szCs w:val="24"/>
          <w:highlight w:val="white"/>
        </w:rPr>
        <w:t xml:space="preserve">, 1200947. </w:t>
      </w:r>
      <w:hyperlink r:id="rId38">
        <w:r w:rsidR="007A00DD">
          <w:rPr>
            <w:rFonts w:ascii="Times New Roman" w:eastAsia="Times New Roman" w:hAnsi="Times New Roman" w:cs="Times New Roman"/>
            <w:color w:val="1155CC"/>
            <w:sz w:val="24"/>
            <w:szCs w:val="24"/>
            <w:highlight w:val="white"/>
            <w:u w:val="single"/>
          </w:rPr>
          <w:t>https://doi.org/10.3389/fmed.2023.1200947</w:t>
        </w:r>
      </w:hyperlink>
    </w:p>
    <w:p w14:paraId="366DDCE6"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proofErr w:type="spellStart"/>
      <w:r>
        <w:rPr>
          <w:rFonts w:ascii="Times New Roman" w:eastAsia="Times New Roman" w:hAnsi="Times New Roman" w:cs="Times New Roman"/>
          <w:color w:val="212121"/>
          <w:sz w:val="24"/>
          <w:szCs w:val="24"/>
          <w:highlight w:val="white"/>
        </w:rPr>
        <w:t>Pushpakom</w:t>
      </w:r>
      <w:proofErr w:type="spellEnd"/>
      <w:r>
        <w:rPr>
          <w:rFonts w:ascii="Times New Roman" w:eastAsia="Times New Roman" w:hAnsi="Times New Roman" w:cs="Times New Roman"/>
          <w:color w:val="212121"/>
          <w:sz w:val="24"/>
          <w:szCs w:val="24"/>
          <w:highlight w:val="white"/>
        </w:rPr>
        <w:t xml:space="preserve">, S., Iorio, F., Eyers, P. A., </w:t>
      </w:r>
      <w:proofErr w:type="spellStart"/>
      <w:r>
        <w:rPr>
          <w:rFonts w:ascii="Times New Roman" w:eastAsia="Times New Roman" w:hAnsi="Times New Roman" w:cs="Times New Roman"/>
          <w:color w:val="212121"/>
          <w:sz w:val="24"/>
          <w:szCs w:val="24"/>
          <w:highlight w:val="white"/>
        </w:rPr>
        <w:t>Escientia</w:t>
      </w:r>
      <w:proofErr w:type="spellEnd"/>
      <w:r>
        <w:rPr>
          <w:rFonts w:ascii="Times New Roman" w:eastAsia="Times New Roman" w:hAnsi="Times New Roman" w:cs="Times New Roman"/>
          <w:color w:val="212121"/>
          <w:sz w:val="24"/>
          <w:szCs w:val="24"/>
          <w:highlight w:val="white"/>
        </w:rPr>
        <w:t xml:space="preserve">, K. J., Andrews, S., Kelland, L. R., ... &amp; </w:t>
      </w:r>
      <w:proofErr w:type="spellStart"/>
      <w:r>
        <w:rPr>
          <w:rFonts w:ascii="Times New Roman" w:eastAsia="Times New Roman" w:hAnsi="Times New Roman" w:cs="Times New Roman"/>
          <w:color w:val="212121"/>
          <w:sz w:val="24"/>
          <w:szCs w:val="24"/>
          <w:highlight w:val="white"/>
        </w:rPr>
        <w:t>Pirmohamed</w:t>
      </w:r>
      <w:proofErr w:type="spellEnd"/>
      <w:r>
        <w:rPr>
          <w:rFonts w:ascii="Times New Roman" w:eastAsia="Times New Roman" w:hAnsi="Times New Roman" w:cs="Times New Roman"/>
          <w:color w:val="212121"/>
          <w:sz w:val="24"/>
          <w:szCs w:val="24"/>
          <w:highlight w:val="white"/>
        </w:rPr>
        <w:t xml:space="preserve">, M. (2019). Drug repurposing: Progress, challenges and recommendations. </w:t>
      </w:r>
      <w:r>
        <w:rPr>
          <w:rFonts w:ascii="Times New Roman" w:eastAsia="Times New Roman" w:hAnsi="Times New Roman" w:cs="Times New Roman"/>
          <w:i/>
          <w:iCs/>
          <w:color w:val="212121"/>
          <w:sz w:val="24"/>
          <w:szCs w:val="24"/>
          <w:highlight w:val="white"/>
        </w:rPr>
        <w:t>Nature Reviews Drug Discovery</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18</w:t>
      </w:r>
      <w:r>
        <w:rPr>
          <w:rFonts w:ascii="Times New Roman" w:eastAsia="Times New Roman" w:hAnsi="Times New Roman" w:cs="Times New Roman"/>
          <w:color w:val="212121"/>
          <w:sz w:val="24"/>
          <w:szCs w:val="24"/>
          <w:highlight w:val="white"/>
        </w:rPr>
        <w:t>(1), 41–58.</w:t>
      </w:r>
      <w:hyperlink r:id="rId39">
        <w:r w:rsidR="007A00DD">
          <w:rPr>
            <w:rFonts w:ascii="Times New Roman" w:eastAsia="Times New Roman" w:hAnsi="Times New Roman" w:cs="Times New Roman"/>
            <w:color w:val="212121"/>
            <w:sz w:val="24"/>
            <w:szCs w:val="24"/>
            <w:highlight w:val="white"/>
          </w:rPr>
          <w:t xml:space="preserve"> </w:t>
        </w:r>
      </w:hyperlink>
      <w:hyperlink r:id="rId40">
        <w:r w:rsidR="007A00DD">
          <w:rPr>
            <w:rFonts w:ascii="Times New Roman" w:eastAsia="Times New Roman" w:hAnsi="Times New Roman" w:cs="Times New Roman"/>
            <w:color w:val="1155CC"/>
            <w:sz w:val="24"/>
            <w:szCs w:val="24"/>
            <w:highlight w:val="white"/>
            <w:u w:val="single"/>
          </w:rPr>
          <w:t>https://doi.org/10.1038/nrd.2018.168</w:t>
        </w:r>
      </w:hyperlink>
    </w:p>
    <w:p w14:paraId="2FC02831"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1B1B1B"/>
          <w:sz w:val="24"/>
          <w:szCs w:val="24"/>
          <w:highlight w:val="white"/>
        </w:rPr>
        <w:t xml:space="preserve">Rehman, F., Shanmugasundaram, P., &amp; Schrey, M. P. (2004). </w:t>
      </w:r>
      <w:proofErr w:type="spellStart"/>
      <w:r>
        <w:rPr>
          <w:rFonts w:ascii="Times New Roman" w:eastAsia="Times New Roman" w:hAnsi="Times New Roman" w:cs="Times New Roman"/>
          <w:color w:val="1B1B1B"/>
          <w:sz w:val="24"/>
          <w:szCs w:val="24"/>
          <w:highlight w:val="white"/>
        </w:rPr>
        <w:t>Fenretinide</w:t>
      </w:r>
      <w:proofErr w:type="spellEnd"/>
      <w:r>
        <w:rPr>
          <w:rFonts w:ascii="Times New Roman" w:eastAsia="Times New Roman" w:hAnsi="Times New Roman" w:cs="Times New Roman"/>
          <w:color w:val="1B1B1B"/>
          <w:sz w:val="24"/>
          <w:szCs w:val="24"/>
          <w:highlight w:val="white"/>
        </w:rPr>
        <w:t xml:space="preserve"> stimulates redox-sensitive ceramide production in breast cancer cells: potential role in drug-induced cytotoxicity. </w:t>
      </w:r>
      <w:r>
        <w:rPr>
          <w:rFonts w:ascii="Times New Roman" w:eastAsia="Times New Roman" w:hAnsi="Times New Roman" w:cs="Times New Roman"/>
          <w:i/>
          <w:iCs/>
          <w:color w:val="1B1B1B"/>
          <w:sz w:val="24"/>
          <w:szCs w:val="24"/>
          <w:highlight w:val="white"/>
        </w:rPr>
        <w:t>British journal of cancer</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91</w:t>
      </w:r>
      <w:r>
        <w:rPr>
          <w:rFonts w:ascii="Times New Roman" w:eastAsia="Times New Roman" w:hAnsi="Times New Roman" w:cs="Times New Roman"/>
          <w:color w:val="1B1B1B"/>
          <w:sz w:val="24"/>
          <w:szCs w:val="24"/>
          <w:highlight w:val="white"/>
        </w:rPr>
        <w:t xml:space="preserve">(10), 1821–1828. </w:t>
      </w:r>
      <w:hyperlink r:id="rId41">
        <w:r w:rsidR="007A00DD">
          <w:rPr>
            <w:rFonts w:ascii="Times New Roman" w:eastAsia="Times New Roman" w:hAnsi="Times New Roman" w:cs="Times New Roman"/>
            <w:color w:val="1155CC"/>
            <w:sz w:val="24"/>
            <w:szCs w:val="24"/>
            <w:highlight w:val="white"/>
            <w:u w:val="single"/>
          </w:rPr>
          <w:t>https://doi.org/10.1038/sj.bjc.6602212</w:t>
        </w:r>
      </w:hyperlink>
    </w:p>
    <w:p w14:paraId="79D2A1F6" w14:textId="77777777" w:rsidR="007A00DD" w:rsidRDefault="00000000">
      <w:pPr>
        <w:numPr>
          <w:ilvl w:val="0"/>
          <w:numId w:val="2"/>
        </w:numPr>
        <w:spacing w:after="240" w:line="480" w:lineRule="auto"/>
        <w:jc w:val="both"/>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Ryu, Y. S., Shin, S., An, H. G., Kwon, T. U., Baek, H. S., Kwon, Y. J., &amp; Chun, Y. J. (2020). Synergistic Induction of Apoptosis by the Combination of an Axl Inhibitor and </w:t>
      </w:r>
      <w:r>
        <w:rPr>
          <w:rFonts w:ascii="Times New Roman" w:eastAsia="Times New Roman" w:hAnsi="Times New Roman" w:cs="Times New Roman"/>
          <w:color w:val="1B1B1B"/>
          <w:sz w:val="24"/>
          <w:szCs w:val="24"/>
          <w:highlight w:val="white"/>
        </w:rPr>
        <w:lastRenderedPageBreak/>
        <w:t xml:space="preserve">Auranofin in Human Breast Cancer Cells. </w:t>
      </w:r>
      <w:r>
        <w:rPr>
          <w:rFonts w:ascii="Times New Roman" w:eastAsia="Times New Roman" w:hAnsi="Times New Roman" w:cs="Times New Roman"/>
          <w:i/>
          <w:iCs/>
          <w:color w:val="1B1B1B"/>
          <w:sz w:val="24"/>
          <w:szCs w:val="24"/>
          <w:highlight w:val="white"/>
        </w:rPr>
        <w:t>Biomolecules &amp; therapeutics</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28</w:t>
      </w:r>
      <w:r>
        <w:rPr>
          <w:rFonts w:ascii="Times New Roman" w:eastAsia="Times New Roman" w:hAnsi="Times New Roman" w:cs="Times New Roman"/>
          <w:color w:val="1B1B1B"/>
          <w:sz w:val="24"/>
          <w:szCs w:val="24"/>
          <w:highlight w:val="white"/>
        </w:rPr>
        <w:t xml:space="preserve">(5), 473–481. </w:t>
      </w:r>
      <w:hyperlink r:id="rId42">
        <w:r w:rsidR="007A00DD">
          <w:rPr>
            <w:rFonts w:ascii="Times New Roman" w:eastAsia="Times New Roman" w:hAnsi="Times New Roman" w:cs="Times New Roman"/>
            <w:color w:val="1155CC"/>
            <w:sz w:val="24"/>
            <w:szCs w:val="24"/>
            <w:highlight w:val="white"/>
            <w:u w:val="single"/>
          </w:rPr>
          <w:t>https://doi.org/10.4062/biomolther.2020.051</w:t>
        </w:r>
      </w:hyperlink>
    </w:p>
    <w:p w14:paraId="209C431F" w14:textId="77777777" w:rsidR="007A00DD" w:rsidRDefault="00000000">
      <w:pPr>
        <w:numPr>
          <w:ilvl w:val="0"/>
          <w:numId w:val="2"/>
        </w:numPr>
        <w:spacing w:after="240" w:line="480" w:lineRule="auto"/>
        <w:jc w:val="both"/>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212121"/>
          <w:sz w:val="24"/>
          <w:szCs w:val="24"/>
          <w:highlight w:val="white"/>
        </w:rPr>
        <w:t xml:space="preserve">Salazar, M. D., Ratnam, M., Patki, M., Kisovic, I., Trumbly, R., Iman, M., &amp; Ratnam, M. (2011). During hormone depletion or tamoxifen treatment of breast cancer cells the estrogen receptor apoprotein supports cell cycling through the retinoic acid receptor α1 apoprotein. </w:t>
      </w:r>
      <w:r>
        <w:rPr>
          <w:rFonts w:ascii="Times New Roman" w:eastAsia="Times New Roman" w:hAnsi="Times New Roman" w:cs="Times New Roman"/>
          <w:i/>
          <w:iCs/>
          <w:color w:val="212121"/>
          <w:sz w:val="24"/>
          <w:szCs w:val="24"/>
          <w:highlight w:val="white"/>
        </w:rPr>
        <w:t xml:space="preserve">Breast cancer </w:t>
      </w:r>
      <w:proofErr w:type="gramStart"/>
      <w:r>
        <w:rPr>
          <w:rFonts w:ascii="Times New Roman" w:eastAsia="Times New Roman" w:hAnsi="Times New Roman" w:cs="Times New Roman"/>
          <w:i/>
          <w:iCs/>
          <w:color w:val="212121"/>
          <w:sz w:val="24"/>
          <w:szCs w:val="24"/>
          <w:highlight w:val="white"/>
        </w:rPr>
        <w:t>research :</w:t>
      </w:r>
      <w:proofErr w:type="gramEnd"/>
      <w:r>
        <w:rPr>
          <w:rFonts w:ascii="Times New Roman" w:eastAsia="Times New Roman" w:hAnsi="Times New Roman" w:cs="Times New Roman"/>
          <w:i/>
          <w:iCs/>
          <w:color w:val="212121"/>
          <w:sz w:val="24"/>
          <w:szCs w:val="24"/>
          <w:highlight w:val="white"/>
        </w:rPr>
        <w:t xml:space="preserve"> BCR</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13</w:t>
      </w:r>
      <w:r>
        <w:rPr>
          <w:rFonts w:ascii="Times New Roman" w:eastAsia="Times New Roman" w:hAnsi="Times New Roman" w:cs="Times New Roman"/>
          <w:color w:val="212121"/>
          <w:sz w:val="24"/>
          <w:szCs w:val="24"/>
          <w:highlight w:val="white"/>
        </w:rPr>
        <w:t xml:space="preserve">(1), R18. </w:t>
      </w:r>
      <w:hyperlink r:id="rId43">
        <w:r w:rsidR="007A00DD">
          <w:rPr>
            <w:rFonts w:ascii="Times New Roman" w:eastAsia="Times New Roman" w:hAnsi="Times New Roman" w:cs="Times New Roman"/>
            <w:color w:val="1155CC"/>
            <w:sz w:val="24"/>
            <w:szCs w:val="24"/>
            <w:highlight w:val="white"/>
            <w:u w:val="single"/>
          </w:rPr>
          <w:t>https://doi.org/10.1186/bcr2827</w:t>
        </w:r>
      </w:hyperlink>
    </w:p>
    <w:p w14:paraId="25C7AD57"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proofErr w:type="spellStart"/>
      <w:r>
        <w:rPr>
          <w:rFonts w:ascii="Times New Roman" w:eastAsia="Times New Roman" w:hAnsi="Times New Roman" w:cs="Times New Roman"/>
          <w:color w:val="212121"/>
          <w:sz w:val="24"/>
          <w:szCs w:val="24"/>
          <w:highlight w:val="white"/>
        </w:rPr>
        <w:t>Shibue</w:t>
      </w:r>
      <w:proofErr w:type="spellEnd"/>
      <w:r>
        <w:rPr>
          <w:rFonts w:ascii="Times New Roman" w:eastAsia="Times New Roman" w:hAnsi="Times New Roman" w:cs="Times New Roman"/>
          <w:color w:val="212121"/>
          <w:sz w:val="24"/>
          <w:szCs w:val="24"/>
          <w:highlight w:val="white"/>
        </w:rPr>
        <w:t xml:space="preserve">, T., &amp; Weinberg, R. A. (2017). EMT, CSCs, and drug resistance: The mechanistic link and clinical implications. </w:t>
      </w:r>
      <w:r>
        <w:rPr>
          <w:rFonts w:ascii="Times New Roman" w:eastAsia="Times New Roman" w:hAnsi="Times New Roman" w:cs="Times New Roman"/>
          <w:i/>
          <w:iCs/>
          <w:color w:val="212121"/>
          <w:sz w:val="24"/>
          <w:szCs w:val="24"/>
          <w:highlight w:val="white"/>
        </w:rPr>
        <w:t>Nature Reviews Clinical Oncology</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14</w:t>
      </w:r>
      <w:r>
        <w:rPr>
          <w:rFonts w:ascii="Times New Roman" w:eastAsia="Times New Roman" w:hAnsi="Times New Roman" w:cs="Times New Roman"/>
          <w:color w:val="212121"/>
          <w:sz w:val="24"/>
          <w:szCs w:val="24"/>
          <w:highlight w:val="white"/>
        </w:rPr>
        <w:t>(10), 611–629.</w:t>
      </w:r>
      <w:hyperlink r:id="rId44">
        <w:r w:rsidR="007A00DD">
          <w:rPr>
            <w:rFonts w:ascii="Times New Roman" w:eastAsia="Times New Roman" w:hAnsi="Times New Roman" w:cs="Times New Roman"/>
            <w:color w:val="212121"/>
            <w:sz w:val="24"/>
            <w:szCs w:val="24"/>
            <w:highlight w:val="white"/>
          </w:rPr>
          <w:t xml:space="preserve"> </w:t>
        </w:r>
      </w:hyperlink>
      <w:hyperlink r:id="rId45">
        <w:r w:rsidR="007A00DD">
          <w:rPr>
            <w:rFonts w:ascii="Times New Roman" w:eastAsia="Times New Roman" w:hAnsi="Times New Roman" w:cs="Times New Roman"/>
            <w:color w:val="1155CC"/>
            <w:sz w:val="24"/>
            <w:szCs w:val="24"/>
            <w:highlight w:val="white"/>
            <w:u w:val="single"/>
          </w:rPr>
          <w:t>https://doi.org/10.1038/nrclinonc.2017.44</w:t>
        </w:r>
      </w:hyperlink>
    </w:p>
    <w:p w14:paraId="7851BB78"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proofErr w:type="spellStart"/>
      <w:r>
        <w:rPr>
          <w:rFonts w:ascii="Times New Roman" w:eastAsia="Times New Roman" w:hAnsi="Times New Roman" w:cs="Times New Roman"/>
          <w:color w:val="212121"/>
          <w:sz w:val="24"/>
          <w:szCs w:val="24"/>
          <w:highlight w:val="white"/>
        </w:rPr>
        <w:t>Shivhare</w:t>
      </w:r>
      <w:proofErr w:type="spellEnd"/>
      <w:r>
        <w:rPr>
          <w:rFonts w:ascii="Times New Roman" w:eastAsia="Times New Roman" w:hAnsi="Times New Roman" w:cs="Times New Roman"/>
          <w:color w:val="212121"/>
          <w:sz w:val="24"/>
          <w:szCs w:val="24"/>
          <w:highlight w:val="white"/>
        </w:rPr>
        <w:t xml:space="preserve">, S., Choudhury, S., Singh, D., &amp; Das, A. (2023). ZEB1 potentiates chemoresistance in breast cancer stem cells by evading apoptosis. </w:t>
      </w:r>
      <w:proofErr w:type="spellStart"/>
      <w:r>
        <w:rPr>
          <w:rFonts w:ascii="Times New Roman" w:eastAsia="Times New Roman" w:hAnsi="Times New Roman" w:cs="Times New Roman"/>
          <w:color w:val="212121"/>
          <w:sz w:val="24"/>
          <w:szCs w:val="24"/>
          <w:highlight w:val="white"/>
        </w:rPr>
        <w:t>Biochimica</w:t>
      </w:r>
      <w:proofErr w:type="spellEnd"/>
      <w:r>
        <w:rPr>
          <w:rFonts w:ascii="Times New Roman" w:eastAsia="Times New Roman" w:hAnsi="Times New Roman" w:cs="Times New Roman"/>
          <w:color w:val="212121"/>
          <w:sz w:val="24"/>
          <w:szCs w:val="24"/>
          <w:highlight w:val="white"/>
        </w:rPr>
        <w:t xml:space="preserve"> et </w:t>
      </w:r>
      <w:proofErr w:type="spellStart"/>
      <w:r>
        <w:rPr>
          <w:rFonts w:ascii="Times New Roman" w:eastAsia="Times New Roman" w:hAnsi="Times New Roman" w:cs="Times New Roman"/>
          <w:color w:val="212121"/>
          <w:sz w:val="24"/>
          <w:szCs w:val="24"/>
          <w:highlight w:val="white"/>
        </w:rPr>
        <w:t>biophysica</w:t>
      </w:r>
      <w:proofErr w:type="spellEnd"/>
      <w:r>
        <w:rPr>
          <w:rFonts w:ascii="Times New Roman" w:eastAsia="Times New Roman" w:hAnsi="Times New Roman" w:cs="Times New Roman"/>
          <w:color w:val="212121"/>
          <w:sz w:val="24"/>
          <w:szCs w:val="24"/>
          <w:highlight w:val="white"/>
        </w:rPr>
        <w:t xml:space="preserve"> acta. Molecular cell research, 1870(7), 119528. </w:t>
      </w:r>
      <w:hyperlink r:id="rId46">
        <w:r w:rsidR="007A00DD">
          <w:rPr>
            <w:rFonts w:ascii="Times New Roman" w:eastAsia="Times New Roman" w:hAnsi="Times New Roman" w:cs="Times New Roman"/>
            <w:color w:val="1155CC"/>
            <w:sz w:val="24"/>
            <w:szCs w:val="24"/>
            <w:highlight w:val="white"/>
            <w:u w:val="single"/>
          </w:rPr>
          <w:t>https://doi.org/10.1016/j.bbamcr.2023.119528</w:t>
        </w:r>
      </w:hyperlink>
      <w:r>
        <w:rPr>
          <w:rFonts w:ascii="Times New Roman" w:eastAsia="Times New Roman" w:hAnsi="Times New Roman" w:cs="Times New Roman"/>
          <w:color w:val="212121"/>
          <w:sz w:val="24"/>
          <w:szCs w:val="24"/>
          <w:highlight w:val="white"/>
        </w:rPr>
        <w:t xml:space="preserve"> </w:t>
      </w:r>
    </w:p>
    <w:p w14:paraId="7291D4C4"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Silnitsky, S., Rubin, S. J. S., Zerihun, M., &amp; </w:t>
      </w:r>
      <w:proofErr w:type="spellStart"/>
      <w:r>
        <w:rPr>
          <w:rFonts w:ascii="Times New Roman" w:eastAsia="Times New Roman" w:hAnsi="Times New Roman" w:cs="Times New Roman"/>
          <w:color w:val="212121"/>
          <w:sz w:val="24"/>
          <w:szCs w:val="24"/>
          <w:highlight w:val="white"/>
        </w:rPr>
        <w:t>Qvit</w:t>
      </w:r>
      <w:proofErr w:type="spellEnd"/>
      <w:r>
        <w:rPr>
          <w:rFonts w:ascii="Times New Roman" w:eastAsia="Times New Roman" w:hAnsi="Times New Roman" w:cs="Times New Roman"/>
          <w:color w:val="212121"/>
          <w:sz w:val="24"/>
          <w:szCs w:val="24"/>
          <w:highlight w:val="white"/>
        </w:rPr>
        <w:t xml:space="preserve">, N. (2023). An Update on Protein Kinases as Therapeutic Targets-Part I: Protein Kinase C Activation and Its Role in Cancer and Cardiovascular Diseases. </w:t>
      </w:r>
      <w:r>
        <w:rPr>
          <w:rFonts w:ascii="Times New Roman" w:eastAsia="Times New Roman" w:hAnsi="Times New Roman" w:cs="Times New Roman"/>
          <w:i/>
          <w:iCs/>
          <w:color w:val="212121"/>
          <w:sz w:val="24"/>
          <w:szCs w:val="24"/>
          <w:highlight w:val="white"/>
        </w:rPr>
        <w:t>International journal of molecular sciences</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24</w:t>
      </w:r>
      <w:r>
        <w:rPr>
          <w:rFonts w:ascii="Times New Roman" w:eastAsia="Times New Roman" w:hAnsi="Times New Roman" w:cs="Times New Roman"/>
          <w:color w:val="212121"/>
          <w:sz w:val="24"/>
          <w:szCs w:val="24"/>
          <w:highlight w:val="white"/>
        </w:rPr>
        <w:t xml:space="preserve">(24), 17600. </w:t>
      </w:r>
      <w:hyperlink r:id="rId47">
        <w:r w:rsidR="007A00DD">
          <w:rPr>
            <w:rFonts w:ascii="Times New Roman" w:eastAsia="Times New Roman" w:hAnsi="Times New Roman" w:cs="Times New Roman"/>
            <w:color w:val="1155CC"/>
            <w:sz w:val="24"/>
            <w:szCs w:val="24"/>
            <w:highlight w:val="white"/>
            <w:u w:val="single"/>
          </w:rPr>
          <w:t>https://doi.org/10.3390/ijms242417600</w:t>
        </w:r>
      </w:hyperlink>
    </w:p>
    <w:p w14:paraId="5F9C4BE0"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Song, N., Jing, W., Li, C., Bai, M., Cheng, Y., Li, H., Hou, K., Li, Y., Wang, K., Li, Z., Liu, Y., Qu, X., &amp; Che, X. (2018). ZEB1 inhibition sensitizes cells to the ATR inhibitor VE-821 by abrogating epithelial-mesenchymal transition and enhancing DNA damage. </w:t>
      </w:r>
      <w:r>
        <w:rPr>
          <w:rFonts w:ascii="Times New Roman" w:eastAsia="Times New Roman" w:hAnsi="Times New Roman" w:cs="Times New Roman"/>
          <w:i/>
          <w:iCs/>
          <w:color w:val="212121"/>
          <w:sz w:val="24"/>
          <w:szCs w:val="24"/>
          <w:highlight w:val="white"/>
        </w:rPr>
        <w:t>Cell Cycle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17</w:t>
      </w:r>
      <w:r>
        <w:rPr>
          <w:rFonts w:ascii="Times New Roman" w:eastAsia="Times New Roman" w:hAnsi="Times New Roman" w:cs="Times New Roman"/>
          <w:color w:val="212121"/>
          <w:sz w:val="24"/>
          <w:szCs w:val="24"/>
          <w:highlight w:val="white"/>
        </w:rPr>
        <w:t>(5), 595–604.</w:t>
      </w:r>
      <w:hyperlink r:id="rId48">
        <w:r w:rsidR="007A00DD">
          <w:rPr>
            <w:rFonts w:ascii="Times New Roman" w:eastAsia="Times New Roman" w:hAnsi="Times New Roman" w:cs="Times New Roman"/>
            <w:color w:val="212121"/>
            <w:sz w:val="24"/>
            <w:szCs w:val="24"/>
            <w:highlight w:val="white"/>
          </w:rPr>
          <w:t xml:space="preserve"> </w:t>
        </w:r>
      </w:hyperlink>
      <w:hyperlink r:id="rId49">
        <w:r w:rsidR="007A00DD">
          <w:rPr>
            <w:rFonts w:ascii="Times New Roman" w:eastAsia="Times New Roman" w:hAnsi="Times New Roman" w:cs="Times New Roman"/>
            <w:color w:val="1155CC"/>
            <w:sz w:val="24"/>
            <w:szCs w:val="24"/>
            <w:highlight w:val="white"/>
            <w:u w:val="single"/>
          </w:rPr>
          <w:t>https://doi.org/10.1080/15384101.2017.1404206</w:t>
        </w:r>
      </w:hyperlink>
    </w:p>
    <w:p w14:paraId="0A17C724"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lastRenderedPageBreak/>
        <w:t xml:space="preserve">Sreekumar, R., </w:t>
      </w:r>
      <w:proofErr w:type="spellStart"/>
      <w:r>
        <w:rPr>
          <w:rFonts w:ascii="Times New Roman" w:eastAsia="Times New Roman" w:hAnsi="Times New Roman" w:cs="Times New Roman"/>
          <w:color w:val="212121"/>
          <w:sz w:val="24"/>
          <w:szCs w:val="24"/>
          <w:highlight w:val="white"/>
        </w:rPr>
        <w:t>Emaduddin</w:t>
      </w:r>
      <w:proofErr w:type="spellEnd"/>
      <w:r>
        <w:rPr>
          <w:rFonts w:ascii="Times New Roman" w:eastAsia="Times New Roman" w:hAnsi="Times New Roman" w:cs="Times New Roman"/>
          <w:color w:val="212121"/>
          <w:sz w:val="24"/>
          <w:szCs w:val="24"/>
          <w:highlight w:val="white"/>
        </w:rPr>
        <w:t>, M., Al-</w:t>
      </w:r>
      <w:proofErr w:type="spellStart"/>
      <w:r>
        <w:rPr>
          <w:rFonts w:ascii="Times New Roman" w:eastAsia="Times New Roman" w:hAnsi="Times New Roman" w:cs="Times New Roman"/>
          <w:color w:val="212121"/>
          <w:sz w:val="24"/>
          <w:szCs w:val="24"/>
          <w:highlight w:val="white"/>
        </w:rPr>
        <w:t>Saihati</w:t>
      </w:r>
      <w:proofErr w:type="spellEnd"/>
      <w:r>
        <w:rPr>
          <w:rFonts w:ascii="Times New Roman" w:eastAsia="Times New Roman" w:hAnsi="Times New Roman" w:cs="Times New Roman"/>
          <w:color w:val="212121"/>
          <w:sz w:val="24"/>
          <w:szCs w:val="24"/>
          <w:highlight w:val="white"/>
        </w:rPr>
        <w:t xml:space="preserve">, H., &amp; et al. (2019). Protein kinase C inhibitors override ZEB1-induced chemoresistance in HCC. </w:t>
      </w:r>
      <w:r>
        <w:rPr>
          <w:rFonts w:ascii="Times New Roman" w:eastAsia="Times New Roman" w:hAnsi="Times New Roman" w:cs="Times New Roman"/>
          <w:i/>
          <w:iCs/>
          <w:color w:val="212121"/>
          <w:sz w:val="24"/>
          <w:szCs w:val="24"/>
          <w:highlight w:val="white"/>
        </w:rPr>
        <w:t>Cell Death &amp; Disease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10</w:t>
      </w:r>
      <w:r>
        <w:rPr>
          <w:rFonts w:ascii="Times New Roman" w:eastAsia="Times New Roman" w:hAnsi="Times New Roman" w:cs="Times New Roman"/>
          <w:color w:val="212121"/>
          <w:sz w:val="24"/>
          <w:szCs w:val="24"/>
          <w:highlight w:val="white"/>
        </w:rPr>
        <w:t>, Article 703.</w:t>
      </w:r>
      <w:hyperlink r:id="rId50">
        <w:r w:rsidR="007A00DD">
          <w:rPr>
            <w:rFonts w:ascii="Times New Roman" w:eastAsia="Times New Roman" w:hAnsi="Times New Roman" w:cs="Times New Roman"/>
            <w:color w:val="212121"/>
            <w:sz w:val="24"/>
            <w:szCs w:val="24"/>
            <w:highlight w:val="white"/>
          </w:rPr>
          <w:t xml:space="preserve"> </w:t>
        </w:r>
      </w:hyperlink>
      <w:hyperlink r:id="rId51">
        <w:r w:rsidR="007A00DD">
          <w:rPr>
            <w:rFonts w:ascii="Times New Roman" w:eastAsia="Times New Roman" w:hAnsi="Times New Roman" w:cs="Times New Roman"/>
            <w:color w:val="1155CC"/>
            <w:sz w:val="24"/>
            <w:szCs w:val="24"/>
            <w:highlight w:val="white"/>
            <w:u w:val="single"/>
          </w:rPr>
          <w:t>https://doi.org/10.1038/s41419-019-1885-6</w:t>
        </w:r>
      </w:hyperlink>
      <w:r>
        <w:rPr>
          <w:rFonts w:ascii="Times New Roman" w:eastAsia="Times New Roman" w:hAnsi="Times New Roman" w:cs="Times New Roman"/>
          <w:color w:val="212121"/>
          <w:sz w:val="24"/>
          <w:szCs w:val="24"/>
          <w:highlight w:val="white"/>
        </w:rPr>
        <w:t xml:space="preserve"> </w:t>
      </w:r>
    </w:p>
    <w:p w14:paraId="4D3F5FBB"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Sulaiman, N.B., Mohan, C.D., </w:t>
      </w:r>
      <w:proofErr w:type="spellStart"/>
      <w:r>
        <w:rPr>
          <w:rFonts w:ascii="Times New Roman" w:eastAsia="Times New Roman" w:hAnsi="Times New Roman" w:cs="Times New Roman"/>
          <w:color w:val="212121"/>
          <w:sz w:val="24"/>
          <w:szCs w:val="24"/>
          <w:highlight w:val="white"/>
        </w:rPr>
        <w:t>Basappa</w:t>
      </w:r>
      <w:proofErr w:type="spellEnd"/>
      <w:r>
        <w:rPr>
          <w:rFonts w:ascii="Times New Roman" w:eastAsia="Times New Roman" w:hAnsi="Times New Roman" w:cs="Times New Roman"/>
          <w:color w:val="212121"/>
          <w:sz w:val="24"/>
          <w:szCs w:val="24"/>
          <w:highlight w:val="white"/>
        </w:rPr>
        <w:t xml:space="preserve">, S., Pandey, V., Rangappa, S., Bharathkumar, H. ... </w:t>
      </w:r>
      <w:proofErr w:type="spellStart"/>
      <w:r>
        <w:rPr>
          <w:rFonts w:ascii="Times New Roman" w:eastAsia="Times New Roman" w:hAnsi="Times New Roman" w:cs="Times New Roman"/>
          <w:color w:val="212121"/>
          <w:sz w:val="24"/>
          <w:szCs w:val="24"/>
          <w:highlight w:val="white"/>
        </w:rPr>
        <w:t>Rangappa</w:t>
      </w:r>
      <w:proofErr w:type="spellEnd"/>
      <w:r>
        <w:rPr>
          <w:rFonts w:ascii="Times New Roman" w:eastAsia="Times New Roman" w:hAnsi="Times New Roman" w:cs="Times New Roman"/>
          <w:color w:val="212121"/>
          <w:sz w:val="24"/>
          <w:szCs w:val="24"/>
          <w:highlight w:val="white"/>
        </w:rPr>
        <w:t xml:space="preserve">, K.S. (2016). An </w:t>
      </w:r>
      <w:proofErr w:type="spellStart"/>
      <w:r>
        <w:rPr>
          <w:rFonts w:ascii="Times New Roman" w:eastAsia="Times New Roman" w:hAnsi="Times New Roman" w:cs="Times New Roman"/>
          <w:color w:val="212121"/>
          <w:sz w:val="24"/>
          <w:szCs w:val="24"/>
          <w:highlight w:val="white"/>
        </w:rPr>
        <w:t>azaspirane</w:t>
      </w:r>
      <w:proofErr w:type="spellEnd"/>
      <w:r>
        <w:rPr>
          <w:rFonts w:ascii="Times New Roman" w:eastAsia="Times New Roman" w:hAnsi="Times New Roman" w:cs="Times New Roman"/>
          <w:color w:val="212121"/>
          <w:sz w:val="24"/>
          <w:szCs w:val="24"/>
          <w:highlight w:val="white"/>
        </w:rPr>
        <w:t xml:space="preserve"> derivative suppresses growth and induces apoptosis of ER-positive and ER-negative breast cancer cells through the modulation of JAK2/STAT3 signaling pathway. International Journal of Oncology, 49, 1221-1229. https://doi.org/10.3892/ijo.2016.3615</w:t>
      </w:r>
    </w:p>
    <w:p w14:paraId="134876DB"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Visconti, R., Della Monica, R. &amp; Grieco, D. Cell cycle checkpoint in cancer: a therapeutically targetable double-edged sword. J Exp Clin Cancer Res 35, 153 (2016). https://doi.org/10.1186/s13046-016-0433-9</w:t>
      </w:r>
    </w:p>
    <w:p w14:paraId="5E0474F1"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Wang, C., Jin, H., Wang, N., Fan, S., Wang, Y., Zhang, Y., Wei, L., Tao, X., Gu, D., Zhao, F., Fang, J., Yao, M., &amp; Qin, W. (2016). Gas6/Axl axis contributes to chemoresistance and metastasis in breast cancer through Akt/GSK-3β/β-catenin signaling. </w:t>
      </w:r>
      <w:proofErr w:type="spellStart"/>
      <w:r>
        <w:rPr>
          <w:rFonts w:ascii="Times New Roman" w:eastAsia="Times New Roman" w:hAnsi="Times New Roman" w:cs="Times New Roman"/>
          <w:i/>
          <w:iCs/>
          <w:color w:val="212121"/>
          <w:sz w:val="24"/>
          <w:szCs w:val="24"/>
          <w:highlight w:val="white"/>
        </w:rPr>
        <w:t>Theranostics</w:t>
      </w:r>
      <w:proofErr w:type="spellEnd"/>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6</w:t>
      </w:r>
      <w:r>
        <w:rPr>
          <w:rFonts w:ascii="Times New Roman" w:eastAsia="Times New Roman" w:hAnsi="Times New Roman" w:cs="Times New Roman"/>
          <w:color w:val="212121"/>
          <w:sz w:val="24"/>
          <w:szCs w:val="24"/>
          <w:highlight w:val="white"/>
        </w:rPr>
        <w:t>(8), 1205–1219.</w:t>
      </w:r>
      <w:hyperlink r:id="rId52">
        <w:r w:rsidR="007A00DD">
          <w:rPr>
            <w:rFonts w:ascii="Times New Roman" w:eastAsia="Times New Roman" w:hAnsi="Times New Roman" w:cs="Times New Roman"/>
            <w:color w:val="212121"/>
            <w:sz w:val="24"/>
            <w:szCs w:val="24"/>
            <w:highlight w:val="white"/>
          </w:rPr>
          <w:t xml:space="preserve"> </w:t>
        </w:r>
      </w:hyperlink>
      <w:hyperlink r:id="rId53">
        <w:r w:rsidR="007A00DD">
          <w:rPr>
            <w:rFonts w:ascii="Times New Roman" w:eastAsia="Times New Roman" w:hAnsi="Times New Roman" w:cs="Times New Roman"/>
            <w:color w:val="1155CC"/>
            <w:sz w:val="24"/>
            <w:szCs w:val="24"/>
            <w:highlight w:val="white"/>
            <w:u w:val="single"/>
          </w:rPr>
          <w:t>https://doi.org/10.7150/thno.15083</w:t>
        </w:r>
      </w:hyperlink>
    </w:p>
    <w:p w14:paraId="6C072308"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Yam, C. Q. X., Lim, H. H., &amp; Surana, U. (2022). DNA damage checkpoint execution and the rules of its disengagement. Frontiers in cell and developmental biology, 10, 1020643. https://doi.org/10.3389/fcell.2022.1020643</w:t>
      </w:r>
    </w:p>
    <w:p w14:paraId="68D7CFCE" w14:textId="77777777" w:rsidR="007A00DD" w:rsidRDefault="00000000">
      <w:pPr>
        <w:numPr>
          <w:ilvl w:val="0"/>
          <w:numId w:val="2"/>
        </w:numPr>
        <w:spacing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Zhang, J., Zhou, C., Jiang, H., Chen, L., Meng, H., Hou, T., ... &amp; Wang, X. (2017). ZEB1 induces ER-α promoter hypermethylation and confers antiestrogen resistance in breast cancer. </w:t>
      </w:r>
      <w:r>
        <w:rPr>
          <w:rFonts w:ascii="Times New Roman" w:eastAsia="Times New Roman" w:hAnsi="Times New Roman" w:cs="Times New Roman"/>
          <w:i/>
          <w:iCs/>
          <w:color w:val="212121"/>
          <w:sz w:val="24"/>
          <w:szCs w:val="24"/>
          <w:highlight w:val="white"/>
        </w:rPr>
        <w:t>Cell Death &amp; Disease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8</w:t>
      </w:r>
      <w:r>
        <w:rPr>
          <w:rFonts w:ascii="Times New Roman" w:eastAsia="Times New Roman" w:hAnsi="Times New Roman" w:cs="Times New Roman"/>
          <w:color w:val="212121"/>
          <w:sz w:val="24"/>
          <w:szCs w:val="24"/>
          <w:highlight w:val="white"/>
        </w:rPr>
        <w:t>, e2732.</w:t>
      </w:r>
      <w:hyperlink r:id="rId54">
        <w:r w:rsidR="007A00DD">
          <w:rPr>
            <w:rFonts w:ascii="Times New Roman" w:eastAsia="Times New Roman" w:hAnsi="Times New Roman" w:cs="Times New Roman"/>
            <w:color w:val="212121"/>
            <w:sz w:val="24"/>
            <w:szCs w:val="24"/>
            <w:highlight w:val="white"/>
          </w:rPr>
          <w:t xml:space="preserve"> </w:t>
        </w:r>
      </w:hyperlink>
      <w:hyperlink r:id="rId55">
        <w:r w:rsidR="007A00DD">
          <w:rPr>
            <w:rFonts w:ascii="Times New Roman" w:eastAsia="Times New Roman" w:hAnsi="Times New Roman" w:cs="Times New Roman"/>
            <w:color w:val="1155CC"/>
            <w:sz w:val="24"/>
            <w:szCs w:val="24"/>
            <w:highlight w:val="white"/>
            <w:u w:val="single"/>
          </w:rPr>
          <w:t>https://doi.org/10.1038/cddis.2017.154</w:t>
        </w:r>
      </w:hyperlink>
    </w:p>
    <w:p w14:paraId="3A4C133D"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lastRenderedPageBreak/>
        <w:t xml:space="preserve">Zhang, X., Selvaraju, K., Saei, A. A., D'Arcy, P., Zubarev, R. A., </w:t>
      </w:r>
      <w:proofErr w:type="spellStart"/>
      <w:r>
        <w:rPr>
          <w:rFonts w:ascii="Times New Roman" w:eastAsia="Times New Roman" w:hAnsi="Times New Roman" w:cs="Times New Roman"/>
          <w:color w:val="212121"/>
          <w:sz w:val="24"/>
          <w:szCs w:val="24"/>
          <w:highlight w:val="white"/>
        </w:rPr>
        <w:t>Arnér</w:t>
      </w:r>
      <w:proofErr w:type="spellEnd"/>
      <w:r>
        <w:rPr>
          <w:rFonts w:ascii="Times New Roman" w:eastAsia="Times New Roman" w:hAnsi="Times New Roman" w:cs="Times New Roman"/>
          <w:color w:val="212121"/>
          <w:sz w:val="24"/>
          <w:szCs w:val="24"/>
          <w:highlight w:val="white"/>
        </w:rPr>
        <w:t xml:space="preserve">, E. S., &amp; Linder, S. (2019). Repurposing of auranofin: Thioredoxin reductase remains a primary target of the drug. </w:t>
      </w:r>
      <w:proofErr w:type="spellStart"/>
      <w:r>
        <w:rPr>
          <w:rFonts w:ascii="Times New Roman" w:eastAsia="Times New Roman" w:hAnsi="Times New Roman" w:cs="Times New Roman"/>
          <w:i/>
          <w:iCs/>
          <w:color w:val="212121"/>
          <w:sz w:val="24"/>
          <w:szCs w:val="24"/>
          <w:highlight w:val="white"/>
        </w:rPr>
        <w:t>Biochimie</w:t>
      </w:r>
      <w:proofErr w:type="spellEnd"/>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162</w:t>
      </w:r>
      <w:r>
        <w:rPr>
          <w:rFonts w:ascii="Times New Roman" w:eastAsia="Times New Roman" w:hAnsi="Times New Roman" w:cs="Times New Roman"/>
          <w:color w:val="212121"/>
          <w:sz w:val="24"/>
          <w:szCs w:val="24"/>
          <w:highlight w:val="white"/>
        </w:rPr>
        <w:t xml:space="preserve">, 46–54. </w:t>
      </w:r>
      <w:hyperlink r:id="rId56">
        <w:r w:rsidR="007A00DD">
          <w:rPr>
            <w:rFonts w:ascii="Times New Roman" w:eastAsia="Times New Roman" w:hAnsi="Times New Roman" w:cs="Times New Roman"/>
            <w:color w:val="1155CC"/>
            <w:sz w:val="24"/>
            <w:szCs w:val="24"/>
            <w:highlight w:val="white"/>
            <w:u w:val="single"/>
          </w:rPr>
          <w:t>https://doi.org/10.1016/j.biochi.2019.03.015</w:t>
        </w:r>
      </w:hyperlink>
    </w:p>
    <w:p w14:paraId="138AD93D" w14:textId="77777777" w:rsidR="007A00DD" w:rsidRDefault="00000000">
      <w:pPr>
        <w:numPr>
          <w:ilvl w:val="0"/>
          <w:numId w:val="2"/>
        </w:numPr>
        <w:spacing w:after="240" w:line="48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Zhang, X., Zhang, Z., Zhang, Q., Zhang, Q., Sun, P., Xiang, R., Ren, G., &amp; Yang, S. (2018). ZEB1 confers chemotherapeutic resistance to breast cancer by activating ATM. </w:t>
      </w:r>
      <w:r>
        <w:rPr>
          <w:rFonts w:ascii="Times New Roman" w:eastAsia="Times New Roman" w:hAnsi="Times New Roman" w:cs="Times New Roman"/>
          <w:i/>
          <w:iCs/>
          <w:color w:val="212121"/>
          <w:sz w:val="24"/>
          <w:szCs w:val="24"/>
          <w:highlight w:val="white"/>
        </w:rPr>
        <w:t>Cell Death &amp; Disease</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9</w:t>
      </w:r>
      <w:r>
        <w:rPr>
          <w:rFonts w:ascii="Times New Roman" w:eastAsia="Times New Roman" w:hAnsi="Times New Roman" w:cs="Times New Roman"/>
          <w:color w:val="212121"/>
          <w:sz w:val="24"/>
          <w:szCs w:val="24"/>
          <w:highlight w:val="white"/>
        </w:rPr>
        <w:t>(2), Article 57.</w:t>
      </w:r>
      <w:hyperlink r:id="rId57">
        <w:r w:rsidR="007A00DD">
          <w:rPr>
            <w:rFonts w:ascii="Times New Roman" w:eastAsia="Times New Roman" w:hAnsi="Times New Roman" w:cs="Times New Roman"/>
            <w:color w:val="212121"/>
            <w:sz w:val="24"/>
            <w:szCs w:val="24"/>
            <w:highlight w:val="white"/>
          </w:rPr>
          <w:t xml:space="preserve"> </w:t>
        </w:r>
      </w:hyperlink>
      <w:hyperlink r:id="rId58">
        <w:r w:rsidR="007A00DD">
          <w:rPr>
            <w:rFonts w:ascii="Times New Roman" w:eastAsia="Times New Roman" w:hAnsi="Times New Roman" w:cs="Times New Roman"/>
            <w:color w:val="1155CC"/>
            <w:sz w:val="24"/>
            <w:szCs w:val="24"/>
            <w:highlight w:val="white"/>
            <w:u w:val="single"/>
          </w:rPr>
          <w:t>https://doi.org/10.1038/s41419-017-0087-3</w:t>
        </w:r>
      </w:hyperlink>
    </w:p>
    <w:p w14:paraId="50BCB6FA" w14:textId="77777777" w:rsidR="007A00DD" w:rsidRDefault="007A00DD">
      <w:pPr>
        <w:spacing w:line="480" w:lineRule="auto"/>
        <w:jc w:val="both"/>
        <w:rPr>
          <w:rFonts w:ascii="Times New Roman" w:eastAsia="Times New Roman" w:hAnsi="Times New Roman" w:cs="Times New Roman"/>
          <w:sz w:val="24"/>
          <w:szCs w:val="24"/>
        </w:rPr>
      </w:pPr>
    </w:p>
    <w:sectPr w:rsidR="007A00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F67950D-2D9C-478D-8652-00458833D999}"/>
  </w:font>
  <w:font w:name="Cambria">
    <w:panose1 w:val="02040503050406030204"/>
    <w:charset w:val="00"/>
    <w:family w:val="roman"/>
    <w:pitch w:val="variable"/>
    <w:sig w:usb0="E00006FF" w:usb1="420024FF" w:usb2="02000000" w:usb3="00000000" w:csb0="0000019F" w:csb1="00000000"/>
    <w:embedRegular r:id="rId2" w:fontKey="{84B19777-8282-4804-8263-5D6A9B1B47D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10086"/>
    <w:multiLevelType w:val="multilevel"/>
    <w:tmpl w:val="94D407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EB364F"/>
    <w:multiLevelType w:val="multilevel"/>
    <w:tmpl w:val="761A58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AD4E34"/>
    <w:multiLevelType w:val="multilevel"/>
    <w:tmpl w:val="DCA08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655E35"/>
    <w:multiLevelType w:val="multilevel"/>
    <w:tmpl w:val="AA3AE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F22F43"/>
    <w:multiLevelType w:val="multilevel"/>
    <w:tmpl w:val="8FFA0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5324613">
    <w:abstractNumId w:val="4"/>
  </w:num>
  <w:num w:numId="2" w16cid:durableId="1584945839">
    <w:abstractNumId w:val="1"/>
  </w:num>
  <w:num w:numId="3" w16cid:durableId="589585893">
    <w:abstractNumId w:val="0"/>
  </w:num>
  <w:num w:numId="4" w16cid:durableId="671294253">
    <w:abstractNumId w:val="3"/>
  </w:num>
  <w:num w:numId="5" w16cid:durableId="745108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0DD"/>
    <w:rsid w:val="000D0C47"/>
    <w:rsid w:val="00175FBD"/>
    <w:rsid w:val="003054E6"/>
    <w:rsid w:val="00751BEB"/>
    <w:rsid w:val="007A00DD"/>
    <w:rsid w:val="00983CC4"/>
    <w:rsid w:val="00C20128"/>
    <w:rsid w:val="00E85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22442"/>
  <w15:docId w15:val="{16F61CF9-50AA-4EF4-8D36-6115D044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58/1541-7786.MCR-20-0532" TargetMode="External"/><Relationship Id="rId18" Type="http://schemas.openxmlformats.org/officeDocument/2006/relationships/hyperlink" Target="https://doi.org/10.3892/ol.2021.13179" TargetMode="External"/><Relationship Id="rId26" Type="http://schemas.openxmlformats.org/officeDocument/2006/relationships/hyperlink" Target="https://doi.org/10.3390/biom12010080" TargetMode="External"/><Relationship Id="rId39" Type="http://schemas.openxmlformats.org/officeDocument/2006/relationships/hyperlink" Target="https://doi.org/10.1038/nrd.2018.168" TargetMode="External"/><Relationship Id="rId21" Type="http://schemas.openxmlformats.org/officeDocument/2006/relationships/hyperlink" Target="https://doi.org/10.1038/s43018-019-0018-6" TargetMode="External"/><Relationship Id="rId34" Type="http://schemas.openxmlformats.org/officeDocument/2006/relationships/hyperlink" Target="https://doi.org/10.1080/10717544.2018.1474964" TargetMode="External"/><Relationship Id="rId42" Type="http://schemas.openxmlformats.org/officeDocument/2006/relationships/hyperlink" Target="https://doi.org/10.4062/biomolther.2020.051" TargetMode="External"/><Relationship Id="rId47" Type="http://schemas.openxmlformats.org/officeDocument/2006/relationships/hyperlink" Target="https://doi.org/10.3390/ijms242417600" TargetMode="External"/><Relationship Id="rId50" Type="http://schemas.openxmlformats.org/officeDocument/2006/relationships/hyperlink" Target="https://doi.org/10.1038/s41419-019-1885-6" TargetMode="External"/><Relationship Id="rId55" Type="http://schemas.openxmlformats.org/officeDocument/2006/relationships/hyperlink" Target="https://doi.org/10.1038/cddis.2017.154" TargetMode="External"/><Relationship Id="rId7" Type="http://schemas.openxmlformats.org/officeDocument/2006/relationships/image" Target="media/image3.png"/><Relationship Id="rId12" Type="http://schemas.openxmlformats.org/officeDocument/2006/relationships/hyperlink" Target="https://doi.org/10.1007/s12672-021-00439-0" TargetMode="External"/><Relationship Id="rId17" Type="http://schemas.openxmlformats.org/officeDocument/2006/relationships/hyperlink" Target="https://doi.org/10.1186/bcr3366" TargetMode="External"/><Relationship Id="rId25" Type="http://schemas.openxmlformats.org/officeDocument/2006/relationships/hyperlink" Target="https://doi.org/10.1016/j.bbrc.2021.11.088" TargetMode="External"/><Relationship Id="rId33" Type="http://schemas.openxmlformats.org/officeDocument/2006/relationships/hyperlink" Target="https://doi.org/10.1080/10717544.2018.1474964" TargetMode="External"/><Relationship Id="rId38" Type="http://schemas.openxmlformats.org/officeDocument/2006/relationships/hyperlink" Target="https://doi.org/10.3389/fmed.2023.1200947" TargetMode="External"/><Relationship Id="rId46" Type="http://schemas.openxmlformats.org/officeDocument/2006/relationships/hyperlink" Target="https://doi.org/10.1016/j.bbamcr.2023.119528"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2/ijc.28782" TargetMode="External"/><Relationship Id="rId20" Type="http://schemas.openxmlformats.org/officeDocument/2006/relationships/hyperlink" Target="https://doi.org/10.1038/s43018-019-0018-6" TargetMode="External"/><Relationship Id="rId29" Type="http://schemas.openxmlformats.org/officeDocument/2006/relationships/hyperlink" Target="https://doi.org/10.1080/15287394.2020.1835762" TargetMode="External"/><Relationship Id="rId41" Type="http://schemas.openxmlformats.org/officeDocument/2006/relationships/hyperlink" Target="https://doi.org/10.1038/sj.bjc.6602212" TargetMode="External"/><Relationship Id="rId54" Type="http://schemas.openxmlformats.org/officeDocument/2006/relationships/hyperlink" Target="https://doi.org/10.1038/cddis.2017.154"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hyperlink" Target="https://doi.org/10.1016/j.bbrc.2021.11.088" TargetMode="External"/><Relationship Id="rId32" Type="http://schemas.openxmlformats.org/officeDocument/2006/relationships/hyperlink" Target="https://doi.org/10.5483/bmbrep.2013.46.1.123" TargetMode="External"/><Relationship Id="rId37" Type="http://schemas.openxmlformats.org/officeDocument/2006/relationships/hyperlink" Target="https://doi.org/10.18632/oncotarget.3882" TargetMode="External"/><Relationship Id="rId40" Type="http://schemas.openxmlformats.org/officeDocument/2006/relationships/hyperlink" Target="https://doi.org/10.1038/nrd.2018.168" TargetMode="External"/><Relationship Id="rId45" Type="http://schemas.openxmlformats.org/officeDocument/2006/relationships/hyperlink" Target="https://doi.org/10.1038/nrclinonc.2017.44" TargetMode="External"/><Relationship Id="rId53" Type="http://schemas.openxmlformats.org/officeDocument/2006/relationships/hyperlink" Target="https://doi.org/10.7150/thno.15083" TargetMode="External"/><Relationship Id="rId58" Type="http://schemas.openxmlformats.org/officeDocument/2006/relationships/hyperlink" Target="https://doi.org/10.1038/s41419-017-0087-3" TargetMode="External"/><Relationship Id="rId5" Type="http://schemas.openxmlformats.org/officeDocument/2006/relationships/image" Target="media/image1.png"/><Relationship Id="rId15" Type="http://schemas.openxmlformats.org/officeDocument/2006/relationships/hyperlink" Target="https://doi.org/10.1002/cncr.32648" TargetMode="External"/><Relationship Id="rId23" Type="http://schemas.openxmlformats.org/officeDocument/2006/relationships/hyperlink" Target="https://doi.org/10.1038/sj.onc.1208429" TargetMode="External"/><Relationship Id="rId28" Type="http://schemas.openxmlformats.org/officeDocument/2006/relationships/hyperlink" Target="https://doi.org/10.3389/fonc.2019.00514" TargetMode="External"/><Relationship Id="rId36" Type="http://schemas.openxmlformats.org/officeDocument/2006/relationships/hyperlink" Target="https://doi.org/10.18632/oncotarget.3882" TargetMode="External"/><Relationship Id="rId49" Type="http://schemas.openxmlformats.org/officeDocument/2006/relationships/hyperlink" Target="https://doi.org/10.1080/15384101.2017.1404206" TargetMode="External"/><Relationship Id="rId57" Type="http://schemas.openxmlformats.org/officeDocument/2006/relationships/hyperlink" Target="https://doi.org/10.1038/s41419-017-0087-3" TargetMode="External"/><Relationship Id="rId10" Type="http://schemas.openxmlformats.org/officeDocument/2006/relationships/image" Target="media/image6.png"/><Relationship Id="rId19" Type="http://schemas.openxmlformats.org/officeDocument/2006/relationships/hyperlink" Target="https://doi.org/10.7150/jca.89034" TargetMode="External"/><Relationship Id="rId31" Type="http://schemas.openxmlformats.org/officeDocument/2006/relationships/hyperlink" Target="https://doi.org/10.32604/or.2025.071523" TargetMode="External"/><Relationship Id="rId44" Type="http://schemas.openxmlformats.org/officeDocument/2006/relationships/hyperlink" Target="https://doi.org/10.1038/nrclinonc.2017.44" TargetMode="External"/><Relationship Id="rId52" Type="http://schemas.openxmlformats.org/officeDocument/2006/relationships/hyperlink" Target="https://doi.org/10.7150/thno.15083"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doi.org/10.1158/1541-7786.MCR-20-0532" TargetMode="External"/><Relationship Id="rId22" Type="http://schemas.openxmlformats.org/officeDocument/2006/relationships/hyperlink" Target="https://doi.org/10.1038/sj.onc.1208429" TargetMode="External"/><Relationship Id="rId27" Type="http://schemas.openxmlformats.org/officeDocument/2006/relationships/hyperlink" Target="https://doi.org/10.3390/medicina57070729" TargetMode="External"/><Relationship Id="rId30" Type="http://schemas.openxmlformats.org/officeDocument/2006/relationships/hyperlink" Target="https://doi.org/10.1186/s12929-015-0150-2" TargetMode="External"/><Relationship Id="rId35" Type="http://schemas.openxmlformats.org/officeDocument/2006/relationships/hyperlink" Target="https://doi.org/10.1371/journal.pone.0053945" TargetMode="External"/><Relationship Id="rId43" Type="http://schemas.openxmlformats.org/officeDocument/2006/relationships/hyperlink" Target="https://doi.org/10.1186/bcr2827" TargetMode="External"/><Relationship Id="rId48" Type="http://schemas.openxmlformats.org/officeDocument/2006/relationships/hyperlink" Target="https://doi.org/10.1080/15384101.2017.1404206" TargetMode="External"/><Relationship Id="rId56" Type="http://schemas.openxmlformats.org/officeDocument/2006/relationships/hyperlink" Target="https://doi.org/10.1016/j.biochi.2019.03.015" TargetMode="External"/><Relationship Id="rId8" Type="http://schemas.openxmlformats.org/officeDocument/2006/relationships/image" Target="media/image4.png"/><Relationship Id="rId51" Type="http://schemas.openxmlformats.org/officeDocument/2006/relationships/hyperlink" Target="https://doi.org/10.1038/s41419-019-1885-6"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642</TotalTime>
  <Pages>27</Pages>
  <Words>6186</Words>
  <Characters>35266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Rustam Alimkulov</cp:lastModifiedBy>
  <cp:revision>5</cp:revision>
  <dcterms:created xsi:type="dcterms:W3CDTF">2026-04-24T02:18:00Z</dcterms:created>
  <dcterms:modified xsi:type="dcterms:W3CDTF">2026-05-09T12:17:00Z</dcterms:modified>
</cp:coreProperties>
</file>