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Title of the Project</w:t>
      </w:r>
    </w:p>
    <w:p w:rsidR="00000000" w:rsidDel="00000000" w:rsidP="00000000" w:rsidRDefault="00000000" w:rsidRPr="00000000" w14:paraId="0000000C">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Gut dysbiosis in Ankylosing Spondylitis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ind w:left="43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w:t>
      </w:r>
      <w:hyperlink r:id="rId7">
        <w:r w:rsidDel="00000000" w:rsidR="00000000" w:rsidRPr="00000000">
          <w:rPr>
            <w:rFonts w:ascii="Times New Roman" w:cs="Times New Roman" w:eastAsia="Times New Roman" w:hAnsi="Times New Roman"/>
            <w:color w:val="0000ee"/>
            <w:sz w:val="24"/>
            <w:szCs w:val="24"/>
            <w:u w:val="single"/>
            <w:rtl w:val="0"/>
          </w:rPr>
          <w:t xml:space="preserve">Nurbibi Kaparova</w:t>
        </w:r>
      </w:hyperlink>
      <w:r w:rsidDel="00000000" w:rsidR="00000000" w:rsidRPr="00000000">
        <w:rPr>
          <w:rtl w:val="0"/>
        </w:rPr>
      </w:r>
    </w:p>
    <w:p w:rsidR="00000000" w:rsidDel="00000000" w:rsidP="00000000" w:rsidRDefault="00000000" w:rsidRPr="00000000" w14:paraId="00000012">
      <w:pPr>
        <w:ind w:left="43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Supervisor: Jeanette Kunz, Associate Professor</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Bachelor of Medical Sciences</w:t>
      </w:r>
    </w:p>
    <w:p w:rsidR="00000000" w:rsidDel="00000000" w:rsidP="00000000" w:rsidRDefault="00000000" w:rsidRPr="00000000" w14:paraId="0000001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Nazarbayev University School of Medicine</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sz w:val="24"/>
          <w:szCs w:val="24"/>
        </w:rPr>
      </w:pPr>
      <w:bookmarkStart w:colFirst="0" w:colLast="0" w:name="_heading=h.syaj87438isk" w:id="0"/>
      <w:bookmarkEnd w:id="0"/>
      <w:r w:rsidDel="00000000" w:rsidR="00000000" w:rsidRPr="00000000">
        <w:rPr>
          <w:rFonts w:ascii="Times New Roman" w:cs="Times New Roman" w:eastAsia="Times New Roman" w:hAnsi="Times New Roman"/>
          <w:sz w:val="24"/>
          <w:szCs w:val="24"/>
          <w:rtl w:val="0"/>
        </w:rPr>
        <w:t xml:space="preserve">Astana, 2025</w:t>
      </w:r>
    </w:p>
    <w:p w:rsidR="00000000" w:rsidDel="00000000" w:rsidP="00000000" w:rsidRDefault="00000000" w:rsidRPr="00000000" w14:paraId="0000001F">
      <w:pPr>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Abstract</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 Background</w:t>
      </w:r>
      <w:r w:rsidDel="00000000" w:rsidR="00000000" w:rsidRPr="00000000">
        <w:rPr>
          <w:rFonts w:ascii="Times New Roman" w:cs="Times New Roman" w:eastAsia="Times New Roman" w:hAnsi="Times New Roman"/>
          <w:sz w:val="24"/>
          <w:szCs w:val="24"/>
          <w:rtl w:val="0"/>
        </w:rPr>
        <w:t xml:space="preserve">: Ankylosing Spondylitis(AS) is an inflammatory disorder that primarily affects the spine and sacroiliac joints, causing discomfort, rigidity, and potential spinal fusion. The exact causes of AS are still unknown, but emerging evidence suggests a combination of genetic, environmental, and microbial influences, including gut dysbiosis - an imbalance in gut microbiota composition. This systematic review aims to consolidate evidence linking gut microbiota changes to AS. </w:t>
      </w:r>
      <w:r w:rsidDel="00000000" w:rsidR="00000000" w:rsidRPr="00000000">
        <w:rPr>
          <w:rFonts w:ascii="Times New Roman" w:cs="Times New Roman" w:eastAsia="Times New Roman" w:hAnsi="Times New Roman"/>
          <w:b w:val="1"/>
          <w:sz w:val="24"/>
          <w:szCs w:val="24"/>
          <w:rtl w:val="0"/>
        </w:rPr>
        <w:t xml:space="preserve">Method</w:t>
      </w:r>
      <w:r w:rsidDel="00000000" w:rsidR="00000000" w:rsidRPr="00000000">
        <w:rPr>
          <w:rFonts w:ascii="Times New Roman" w:cs="Times New Roman" w:eastAsia="Times New Roman" w:hAnsi="Times New Roman"/>
          <w:sz w:val="24"/>
          <w:szCs w:val="24"/>
          <w:rtl w:val="0"/>
        </w:rPr>
        <w:t xml:space="preserve">: A range of databases, including Pubmed, Scopus and Cochrane were used to identify the relevant research publications, adhering to PRISMA guidelines and the PECO framework. </w:t>
      </w:r>
      <w:r w:rsidDel="00000000" w:rsidR="00000000" w:rsidRPr="00000000">
        <w:rPr>
          <w:rFonts w:ascii="Times New Roman" w:cs="Times New Roman" w:eastAsia="Times New Roman" w:hAnsi="Times New Roman"/>
          <w:b w:val="1"/>
          <w:sz w:val="24"/>
          <w:szCs w:val="24"/>
          <w:rtl w:val="0"/>
        </w:rPr>
        <w:t xml:space="preserve">Results</w:t>
      </w:r>
      <w:r w:rsidDel="00000000" w:rsidR="00000000" w:rsidRPr="00000000">
        <w:rPr>
          <w:rFonts w:ascii="Times New Roman" w:cs="Times New Roman" w:eastAsia="Times New Roman" w:hAnsi="Times New Roman"/>
          <w:sz w:val="24"/>
          <w:szCs w:val="24"/>
          <w:rtl w:val="0"/>
        </w:rPr>
        <w:t xml:space="preserve">: Our review included 38 research articles with a total of 2,425 participants. We found variability in the presence of the HLA-B27 gene, with prevalence rates between 10% and 100% among AS patients. Most studies analyzed fecal samples using either 16S rRNA(25/38) or shotgun sequencing methods(8/38) or real-time polymerase chain reaction(qPCR)(2/38) to assess the gut microbiome composition in AS patients and controls. Specific bacterial species, including </w:t>
      </w:r>
      <w:r w:rsidDel="00000000" w:rsidR="00000000" w:rsidRPr="00000000">
        <w:rPr>
          <w:rFonts w:ascii="Times New Roman" w:cs="Times New Roman" w:eastAsia="Times New Roman" w:hAnsi="Times New Roman"/>
          <w:i w:val="1"/>
          <w:sz w:val="24"/>
          <w:szCs w:val="24"/>
          <w:rtl w:val="0"/>
        </w:rPr>
        <w:t xml:space="preserve">Prevotella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Dialister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Collinsella</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sz w:val="24"/>
          <w:szCs w:val="24"/>
          <w:rtl w:val="0"/>
        </w:rPr>
        <w:t xml:space="preserve">Ruminococcus </w:t>
      </w:r>
      <w:r w:rsidDel="00000000" w:rsidR="00000000" w:rsidRPr="00000000">
        <w:rPr>
          <w:rFonts w:ascii="Times New Roman" w:cs="Times New Roman" w:eastAsia="Times New Roman" w:hAnsi="Times New Roman"/>
          <w:i w:val="1"/>
          <w:sz w:val="24"/>
          <w:szCs w:val="24"/>
          <w:rtl w:val="0"/>
        </w:rPr>
        <w:t xml:space="preserve">gnavus</w:t>
      </w:r>
      <w:r w:rsidDel="00000000" w:rsidR="00000000" w:rsidRPr="00000000">
        <w:rPr>
          <w:rFonts w:ascii="Times New Roman" w:cs="Times New Roman" w:eastAsia="Times New Roman" w:hAnsi="Times New Roman"/>
          <w:sz w:val="24"/>
          <w:szCs w:val="24"/>
          <w:rtl w:val="0"/>
        </w:rPr>
        <w:t xml:space="preserve">, were consistently observed to be enriched in patients with AS, particularly in those with active disease or HLA-B27 status. In contrast, bacterials taxa such as</w:t>
      </w:r>
      <w:r w:rsidDel="00000000" w:rsidR="00000000" w:rsidRPr="00000000">
        <w:rPr>
          <w:rFonts w:ascii="Times New Roman" w:cs="Times New Roman" w:eastAsia="Times New Roman" w:hAnsi="Times New Roman"/>
          <w:i w:val="1"/>
          <w:sz w:val="24"/>
          <w:szCs w:val="24"/>
          <w:rtl w:val="0"/>
        </w:rPr>
        <w:t xml:space="preserve"> Faecalibacterium </w:t>
      </w:r>
      <w:r w:rsidDel="00000000" w:rsidR="00000000" w:rsidRPr="00000000">
        <w:rPr>
          <w:rFonts w:ascii="Times New Roman" w:cs="Times New Roman" w:eastAsia="Times New Roman" w:hAnsi="Times New Roman"/>
          <w:i w:val="1"/>
          <w:sz w:val="24"/>
          <w:szCs w:val="24"/>
          <w:rtl w:val="0"/>
        </w:rPr>
        <w:t xml:space="preserve">prausnitzii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Blautia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Roseburia</w:t>
      </w:r>
      <w:r w:rsidDel="00000000" w:rsidR="00000000" w:rsidRPr="00000000">
        <w:rPr>
          <w:rFonts w:ascii="Times New Roman" w:cs="Times New Roman" w:eastAsia="Times New Roman" w:hAnsi="Times New Roman"/>
          <w:sz w:val="24"/>
          <w:szCs w:val="24"/>
          <w:rtl w:val="0"/>
        </w:rPr>
        <w:t xml:space="preserve">, and members of were frequently reported to be depleted, indicating a shift toward a pro-inflammatory gut microbial profile in AS. The Bath Ankylosing Spondylitis Disease Activity Index (BASDAI) ranged from 0.4 to 9.4, Ankylosing Spondylitis Disease Activity Score (ASDAS) from 1.65 to 3.5 and higher; and Bath Ankylosing Spondylitis Functional Index (BASFI) ranged from 0.6 to 4.1, indicating varied disease severity. A comparative analysis of gut microbiome profiles between AS patients and healthy controls revealed that specific bacterial communities were associated with disease activity. Studies investigating the effect of IL-17 inhibitors (2/38), TNF-alpha inhibitors (6/38) reported an improvement in gut microbiota composition. </w:t>
      </w:r>
      <w:r w:rsidDel="00000000" w:rsidR="00000000" w:rsidRPr="00000000">
        <w:rPr>
          <w:rFonts w:ascii="Times New Roman" w:cs="Times New Roman" w:eastAsia="Times New Roman" w:hAnsi="Times New Roman"/>
          <w:b w:val="1"/>
          <w:sz w:val="24"/>
          <w:szCs w:val="24"/>
          <w:rtl w:val="0"/>
        </w:rPr>
        <w:t xml:space="preserve">Conclusion</w:t>
      </w:r>
      <w:r w:rsidDel="00000000" w:rsidR="00000000" w:rsidRPr="00000000">
        <w:rPr>
          <w:rFonts w:ascii="Times New Roman" w:cs="Times New Roman" w:eastAsia="Times New Roman" w:hAnsi="Times New Roman"/>
          <w:sz w:val="24"/>
          <w:szCs w:val="24"/>
          <w:rtl w:val="0"/>
        </w:rPr>
        <w:t xml:space="preserve">: The findings of this study support the hypothesis that gut dysbiosis plays a pivotal role in the development and progression of AS. Significant differences in the abundance of specific bacterial taxa between AS patients and healthy controls highlight the potential impact of microbiome alterations on disease activity. Nevertheless, no significant shared microbiological signature emerged. Further research is required to confirm the link between gut disbalance and ankylosing spondylitis, determine whether microbiome restoration can serve as a marker of treatment efficacy, and elucidate the underlying biological mechanisms involved. Overall, this study highlights the complexity of AS and the critical role of the gut microbiome in its etiology, offering a promising direction for future research and clinical practice. </w:t>
      </w:r>
    </w:p>
    <w:p w:rsidR="00000000" w:rsidDel="00000000" w:rsidP="00000000" w:rsidRDefault="00000000" w:rsidRPr="00000000" w14:paraId="00000021">
      <w:pPr>
        <w:ind w:firstLine="72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2">
      <w:pPr>
        <w:numPr>
          <w:ilvl w:val="0"/>
          <w:numId w:val="3"/>
        </w:numPr>
        <w:ind w:left="720" w:hanging="360"/>
        <w:jc w:val="left"/>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ind w:firstLine="720.000000000000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Ankylosing spondylitis (AS) is considered to be an immune-mediated inflammatory arthritis with a chronic condition. It predominantly affects the axial skeleton and sacroiliac joints, which tends to cause permanent structural damage, stiffness, and functional impairment (Scalise, 2021). Furthermore, this autoimmune disease is also known by conditions such as enthesitis, dactylitis, and asymmetric oligo or mono arthritis, which are mainly affecting the lower extremities. Extra-articular manifestations such as psoriasis, IBD, and anterior uveitis manifestations may also appear (Rudwaleit, 2011). Keep in mind that AS, inflammatory bowel disease (IBD), psoriatic arthritis, reactive arthritis, juvenile idiopathic arthritis, undifferentiated spondyloarthritis (SpA), and enteritis-related arthritis are all forms of SpA (Taurog, 2016). According to recent data, the incidence rate of AS in 2018 rose up to 75.5 per 100,000 people.</w:t>
      </w:r>
    </w:p>
    <w:p w:rsidR="00000000" w:rsidDel="00000000" w:rsidP="00000000" w:rsidRDefault="00000000" w:rsidRPr="00000000" w14:paraId="00000025">
      <w:pPr>
        <w:ind w:firstLine="720.000000000000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annual cases recorded in 2016, 2017, and 2018 were 5,942, 6,554 and 7,146 respectively (Perrone, 2022). Additionally, primary and sensitivity analysis findings revealed a rising trend in United States AS prevalence according to results from 2006 to 2014. The trend was observed in platform analyses, such as Medicare (from 2.12 to 3.60 per 10,000 patients) and MarketScan (from 0.85 to 1.42 per 10,000 patients) (Curtis, 2021). Consequently, the global average prevalence of AS varied. The reported values were 16.7% in Asia, 31.9% in North America, and 23.8% in Europe, whereas those of Latin America and Africa were 10.2% and 7.4%, respectively (Dean, 2013). Up to this date, the etiology and pathophysiology of the disease still require additional studies in spite of extensive research. A major genetic risk factor for the disease is the human leukocyte antigen HLA-B27 with an incidence in over 90% of patients among AS patients (Hwang, 2021). The reason why there is an extremely high level of HLA-B27 positivity in AS patients is not evident, but several reasons may play a part in such an association.</w:t>
      </w:r>
    </w:p>
    <w:p w:rsidR="00000000" w:rsidDel="00000000" w:rsidP="00000000" w:rsidRDefault="00000000" w:rsidRPr="00000000" w14:paraId="00000026">
      <w:pPr>
        <w:ind w:firstLine="720.000000000000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reason is that the genetic factor of SpA has a vital role in disease etiology, and the HLA-B27 gene is the most important genetic factor involved in SpA. It also has been observed that HLA-B27 positive individuals are at more risk of having SpA in comparison to HLA-B27 non-carriers (Hanson, 2017). Second, the influence of HLA-B27 in the pathogenesis of SpA is thought to be due to the induction of an abnormal immune response (Chen, 2017). Furthermore, HLA-B27 is also able to bind some immune cells and activate them, releasing pro-inflammatory cytokines and causing chronic inflammation in the inflamed tissues (Zambrano-Zaragoza, 2013). Finally, it is possible that the greater prevalence of HLA-B27 positivity in patients with SpA is due to other SpA factors, such as gut dysbiosis, which can influence the composition and function of the microbiome and immune response modulation (Gill, 2018). In addition, various processes such as gene interaction, activation of the gut mucosal immune system, enhanced intestinal permeability, and alterations in gut microbiota metabolites point towards the potential significance of gut microbiota as an environmental factor in AS pathophysiology (Song, 2022)(Sharip and Kunz, 2020). Over the last decade, the research community has, for the most part, directed its focus toward the investigation of the human microbiome and how it affects disease. Two primary mechanisms through which the microbiota can affect the onset of disease are alterations in the diversity and composition of the microbiome, and the identification of immune dysregulation targets (Stoll, 2015).</w:t>
      </w:r>
    </w:p>
    <w:p w:rsidR="00000000" w:rsidDel="00000000" w:rsidP="00000000" w:rsidRDefault="00000000" w:rsidRPr="00000000" w14:paraId="00000027">
      <w:pPr>
        <w:ind w:firstLine="720.000000000000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gut hosts multiple types of microbial communities with diverse ecosystems, so it's a "gut microbial community" that has been assigned metabolic equilibrium, immune adequacy and epithelial barrier functions (Serikov et al., 2010). Dysbiosis - an aberration in composition or function of such microbial ecosystems - has played a part in pathogenesis for a great many autoimmune and inflammatory disorders. They include rheumatoid arthritis, systemic lupus erythematosus, and AS (Costello et al., 2015). The gut-joint axis comes on the basis of supposition that intestinal dysbiosis and mucosal immune activation may function as triggering events that result in joint inflammation in AS (Tito et al., 2017).</w:t>
      </w:r>
    </w:p>
    <w:p w:rsidR="00000000" w:rsidDel="00000000" w:rsidP="00000000" w:rsidRDefault="00000000" w:rsidRPr="00000000" w14:paraId="00000028">
      <w:pPr>
        <w:ind w:firstLine="720.000000000000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Animal models have provided strong evidence for such correlation. HLA-B27 transgenic rats, raised under germ-free conditions, don't develop arthritis or colitis, while, on the other hand, colonization with commensal bacteria reinstates disease phenotypes (Breban et al., 2016). Also, subclinical intestinal inflammation has been studied in up to 60% of AS patients, and up to 10% of them develop IBD. Therefore, again establishing the role of gut health in the onset of autoimmune diseases (Chen et al., 2022). Advancements in sequencing technology, such as 16S rRNA sequencing and shotgun metagenome sequencing, have facilitated enhanced and better representation of gut microbiota in AS.</w:t>
      </w:r>
    </w:p>
    <w:p w:rsidR="00000000" w:rsidDel="00000000" w:rsidP="00000000" w:rsidRDefault="00000000" w:rsidRPr="00000000" w14:paraId="00000029">
      <w:pPr>
        <w:ind w:firstLine="720.000000000000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number of reports have reported differences in microbial community structure in AS patients with repeated findings of reduced diversity and alterations in specific bacterial groups, for example, reduction in Ruminococcaceae and Bacteroidaceae and increase in Prevotella species (Breban et al., 2017; Wen et al., 2023). These taxonomic changes may be related to disease activity, HLA-B27 status, or other inflammatory biomarkers but study results are varied. More interest is also being generated on whether biologic therapies, such as tumor necrosis factor inhibitors (TNFi) and interleukin-17 inhibitors (IL-17i), have an impact on the gut microbiome. </w:t>
      </w:r>
    </w:p>
    <w:p w:rsidR="00000000" w:rsidDel="00000000" w:rsidP="00000000" w:rsidRDefault="00000000" w:rsidRPr="00000000" w14:paraId="0000002A">
      <w:pPr>
        <w:ind w:left="0" w:firstLine="720.000000000000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reports suggest that effective treatment may partially restore microbial diversity or shift the abundance of key bacterial taxa, although results remain inconsistent (Zhou et al., 2022). The microbiome may also serve as a biomarker for predicting therapeutic response, though further validation is needed. </w:t>
      </w:r>
    </w:p>
    <w:p w:rsidR="00000000" w:rsidDel="00000000" w:rsidP="00000000" w:rsidRDefault="00000000" w:rsidRPr="00000000" w14:paraId="0000002B">
      <w:pPr>
        <w:ind w:left="0" w:firstLine="720.000000000000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Systematic reviews across autoimmune diseases support the hypothesis that gut dysbiosis is not only disease-specific but may also reflect shared inflammatory mechanisms among rheumatic conditions (e.g., AS, RA, PsA)(Zhou,2024). However, individual studies often vary in design, population characteristics, sequencing methodology, and outcomes measured. This heterogeneity limits the generalizability of findings and underscores the need for structured evidence synthesis. </w:t>
      </w:r>
    </w:p>
    <w:p w:rsidR="00000000" w:rsidDel="00000000" w:rsidP="00000000" w:rsidRDefault="00000000" w:rsidRPr="00000000" w14:paraId="0000002C">
      <w:pPr>
        <w:ind w:left="0" w:firstLine="720.000000000000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aim of this study was to conduct a systematic review focused on gut dysbiosis in AS patients versus healthy controls and in AS patients before and after treatment. The findings of this research are expected to contribute valuable insights that can improve AS diagnosis and evidence-based patient management by raising awareness among clinicians about gut dysbiosis in AS. </w:t>
      </w:r>
    </w:p>
    <w:p w:rsidR="00000000" w:rsidDel="00000000" w:rsidP="00000000" w:rsidRDefault="00000000" w:rsidRPr="00000000" w14:paraId="0000002D">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Specific aim(s):</w:t>
      </w:r>
    </w:p>
    <w:p w:rsidR="00000000" w:rsidDel="00000000" w:rsidP="00000000" w:rsidRDefault="00000000" w:rsidRPr="00000000" w14:paraId="0000002E">
      <w:pPr>
        <w:numPr>
          <w:ilvl w:val="0"/>
          <w:numId w:val="2"/>
        </w:numPr>
        <w:spacing w:after="0" w:afterAutospacing="0"/>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Compare the gut microbiome composition in AS patients versus healthy controls, identifying consistent microbial taxa associated with disease presence. </w:t>
      </w:r>
    </w:p>
    <w:p w:rsidR="00000000" w:rsidDel="00000000" w:rsidP="00000000" w:rsidRDefault="00000000" w:rsidRPr="00000000" w14:paraId="0000002F">
      <w:pPr>
        <w:numPr>
          <w:ilvl w:val="0"/>
          <w:numId w:val="2"/>
        </w:numPr>
        <w:spacing w:after="0" w:afterAutospacing="0"/>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Assess the impact of TNF inhibitors and IL-17 inhibitors on gut microbiota composition</w:t>
      </w:r>
    </w:p>
    <w:p w:rsidR="00000000" w:rsidDel="00000000" w:rsidP="00000000" w:rsidRDefault="00000000" w:rsidRPr="00000000" w14:paraId="00000030">
      <w:pPr>
        <w:numPr>
          <w:ilvl w:val="0"/>
          <w:numId w:val="2"/>
        </w:numPr>
        <w:spacing w:after="0" w:afterAutospacing="0"/>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To explore associations between gut dysbiosis and clinical features of AS, including disease activity, HLA-B27 status, and intestinal inflammation </w:t>
      </w:r>
    </w:p>
    <w:p w:rsidR="00000000" w:rsidDel="00000000" w:rsidP="00000000" w:rsidRDefault="00000000" w:rsidRPr="00000000" w14:paraId="00000031">
      <w:pPr>
        <w:numPr>
          <w:ilvl w:val="0"/>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To identify potential microbial biomarkers that may predict treatment response or serve as diagnostic indicators in AS. </w:t>
      </w:r>
    </w:p>
    <w:p w:rsidR="00000000" w:rsidDel="00000000" w:rsidP="00000000" w:rsidRDefault="00000000" w:rsidRPr="00000000" w14:paraId="00000032">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Hypothesis (if relevant): </w:t>
      </w:r>
    </w:p>
    <w:p w:rsidR="00000000" w:rsidDel="00000000" w:rsidP="00000000" w:rsidRDefault="00000000" w:rsidRPr="00000000" w14:paraId="00000033">
      <w:pPr>
        <w:numPr>
          <w:ilvl w:val="0"/>
          <w:numId w:val="1"/>
        </w:numPr>
        <w:spacing w:after="0" w:afterAutospacing="0"/>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AS is associated with significant alterations in gut microbiome composition (gut dysbiosis). These alterations may contribute to disease pathogenesis by promoting intestinal inflammation and immune dysregulation. </w:t>
      </w:r>
    </w:p>
    <w:p w:rsidR="00000000" w:rsidDel="00000000" w:rsidP="00000000" w:rsidRDefault="00000000" w:rsidRPr="00000000" w14:paraId="00000034">
      <w:pPr>
        <w:numPr>
          <w:ilvl w:val="0"/>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Therapeutic interventions, such TNFi or IL-17i, restore gut microbiota balance and these shifts may correlate with clinical improvement. Certain microbial metabolites may serve as biomarkers of treatment response or disease progression.</w:t>
      </w:r>
      <w:r w:rsidDel="00000000" w:rsidR="00000000" w:rsidRPr="00000000">
        <w:rPr>
          <w:rtl w:val="0"/>
        </w:rPr>
      </w:r>
    </w:p>
    <w:p w:rsidR="00000000" w:rsidDel="00000000" w:rsidP="00000000" w:rsidRDefault="00000000" w:rsidRPr="00000000" w14:paraId="00000035">
      <w:pPr>
        <w:ind w:left="144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6">
      <w:pPr>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 Materials and Methods</w:t>
      </w:r>
      <w:r w:rsidDel="00000000" w:rsidR="00000000" w:rsidRPr="00000000">
        <w:rPr>
          <w:rtl w:val="0"/>
        </w:rPr>
      </w:r>
    </w:p>
    <w:p w:rsidR="00000000" w:rsidDel="00000000" w:rsidP="00000000" w:rsidRDefault="00000000" w:rsidRPr="00000000" w14:paraId="0000003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search strategy was established based on the Participant, Exposure, Comparator, Outcome (PECO) framework (Morgan et al., 2018). The “Participant” refers to patients with suspected or confirmed AS, healthy controls, or individuals with other forms of Spondyloarthritis. The “Exposure” involves the diversity (at the levels of genera and species) and composition of gut microbiota in AS patients and controls. The “Comparator” entails comparing AS patients with gut dysbiosis to either healthy controls or AS patients without gut dysbiosis. The “Outcome” considers measures of AS development, progression, severity and response to treatment. </w:t>
      </w:r>
    </w:p>
    <w:p w:rsidR="00000000" w:rsidDel="00000000" w:rsidP="00000000" w:rsidRDefault="00000000" w:rsidRPr="00000000" w14:paraId="00000038">
      <w:pPr>
        <w:ind w:left="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2.1 Search strategy </w:t>
      </w:r>
    </w:p>
    <w:p w:rsidR="00000000" w:rsidDel="00000000" w:rsidP="00000000" w:rsidRDefault="00000000" w:rsidRPr="00000000" w14:paraId="00000039">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Several databases including PubMed and Cochrane were employed for a comprehensive review of relevant literature. The search strategy included a combination of Medical Subject Headings (MeSH) and a wide range of free-text keywords synonyms related to ankylosing spondylitis, gut microbiome and sequencing methods (e.g., “Ankylosing spondylitis” OR “spondyloarthritis”) AND “Gut” OR “Intestinal” OR “Microbiome” AND “Dysbiosis” OR “Microbial imbalance” AND “16S rRNA” OR “shotgun” OR “PCR”. </w:t>
      </w:r>
    </w:p>
    <w:p w:rsidR="00000000" w:rsidDel="00000000" w:rsidP="00000000" w:rsidRDefault="00000000" w:rsidRPr="00000000" w14:paraId="0000003A">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highlight w:val="white"/>
          <w:rtl w:val="0"/>
        </w:rPr>
        <w:t xml:space="preserve">The Scopus database was not available for screening at the time the initial literature search was conducted. Although Scopus access was restored towards the end of March,</w:t>
      </w:r>
      <w:r w:rsidDel="00000000" w:rsidR="00000000" w:rsidRPr="00000000">
        <w:rPr>
          <w:rFonts w:ascii="Times New Roman" w:cs="Times New Roman" w:eastAsia="Times New Roman" w:hAnsi="Times New Roman"/>
          <w:sz w:val="24"/>
          <w:szCs w:val="24"/>
          <w:rtl w:val="0"/>
        </w:rPr>
        <w:t xml:space="preserve"> an initial comparison revealed that most results from Scopus were duplicates of those found in Pubmed. Therefore, to maintain efficiency and avoid redundancy, Scopus was excluded from the final screening and extraction process. </w:t>
      </w:r>
    </w:p>
    <w:p w:rsidR="00000000" w:rsidDel="00000000" w:rsidP="00000000" w:rsidRDefault="00000000" w:rsidRPr="00000000" w14:paraId="0000003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695950" cy="58293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695950" cy="582930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Figure 1. PR</w:t>
      </w:r>
      <w:r w:rsidDel="00000000" w:rsidR="00000000" w:rsidRPr="00000000">
        <w:rPr>
          <w:rFonts w:ascii="Times New Roman" w:cs="Times New Roman" w:eastAsia="Times New Roman" w:hAnsi="Times New Roman"/>
          <w:b w:val="1"/>
          <w:sz w:val="24"/>
          <w:szCs w:val="24"/>
          <w:highlight w:val="white"/>
          <w:rtl w:val="0"/>
        </w:rPr>
        <w:t xml:space="preserve">ISMA fl</w:t>
      </w:r>
      <w:r w:rsidDel="00000000" w:rsidR="00000000" w:rsidRPr="00000000">
        <w:rPr>
          <w:rFonts w:ascii="Times New Roman" w:cs="Times New Roman" w:eastAsia="Times New Roman" w:hAnsi="Times New Roman"/>
          <w:b w:val="1"/>
          <w:sz w:val="24"/>
          <w:szCs w:val="24"/>
          <w:rtl w:val="0"/>
        </w:rPr>
        <w:t xml:space="preserve">ow chart of the process of selecting gut microbiome studies for Ankylosing Spondylitis. </w:t>
      </w:r>
    </w:p>
    <w:p w:rsidR="00000000" w:rsidDel="00000000" w:rsidP="00000000" w:rsidRDefault="00000000" w:rsidRPr="00000000" w14:paraId="0000003D">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During the identification process, a total of 157 records were retrieved from PubMed, while no additional records were identified through the Cochrane Library. The initial screening was conducted using systematic review management platform Rayyan. At the pre-screening stage, 28 articles were excluded automatically by the program for irrelevance based on titles and abstracts. </w:t>
      </w:r>
    </w:p>
    <w:p w:rsidR="00000000" w:rsidDel="00000000" w:rsidP="00000000" w:rsidRDefault="00000000" w:rsidRPr="00000000" w14:paraId="0000003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remaining 129 articles underwent full screening. Of these, 1 article was excluded due to lack of access to the full text, duplicated cohorts (n=2), letters or editorials (n=2), systematic reviews (n=2), animal studies (n=28) and 56 studies did not meet inclusion criteria due to inappropriate study design or outcome. Following these exclusions, 38 original articles were deemed eligible and included for systematic review for analysis (Figure 1).</w:t>
      </w:r>
    </w:p>
    <w:p w:rsidR="00000000" w:rsidDel="00000000" w:rsidP="00000000" w:rsidRDefault="00000000" w:rsidRPr="00000000" w14:paraId="0000003F">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2.2. Eligibility Criteria </w:t>
      </w:r>
    </w:p>
    <w:p w:rsidR="00000000" w:rsidDel="00000000" w:rsidP="00000000" w:rsidRDefault="00000000" w:rsidRPr="00000000" w14:paraId="00000041">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We removed duplicate records and restricted our search articles published exclusively in English and those human studies involving adult participants. Animal studies were excluded to ensure clinical relevance and applicability to human pathophysiology and treatment outcomes in AS. In addition, studies involving children or adolescents were not included, as the disease presentation, progression, and microbiome characteristics may differ significantly in pediatric populations. The review focused exclusively on adult populations to maintain consistency in disease criteria and microbiome analysis. </w:t>
      </w:r>
    </w:p>
    <w:p w:rsidR="00000000" w:rsidDel="00000000" w:rsidP="00000000" w:rsidRDefault="00000000" w:rsidRPr="00000000" w14:paraId="00000042">
      <w:pPr>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Apart from that, we excluded studies with inappropriate study designs, such as case reports, review articles, editorials, commentaries, letters to the editor, conference abstracts, and randomized controlled trials. Studies that do not provide a comparative group were also excluded from the search. Moreover, studies involving participants with other autoimmune disorders, or treatments that interfere with the interpretation of results (e.g., antibiotics treatment in the six weeks before the start of observation) were not considered for inclusion. When two researchers were </w:t>
      </w:r>
      <w:r w:rsidDel="00000000" w:rsidR="00000000" w:rsidRPr="00000000">
        <w:rPr>
          <w:rFonts w:ascii="Times New Roman" w:cs="Times New Roman" w:eastAsia="Times New Roman" w:hAnsi="Times New Roman"/>
          <w:sz w:val="24"/>
          <w:szCs w:val="24"/>
          <w:rtl w:val="0"/>
        </w:rPr>
        <w:t xml:space="preserve">disagre</w:t>
      </w:r>
      <w:r w:rsidDel="00000000" w:rsidR="00000000" w:rsidRPr="00000000">
        <w:rPr>
          <w:rFonts w:ascii="Times New Roman" w:cs="Times New Roman" w:eastAsia="Times New Roman" w:hAnsi="Times New Roman"/>
          <w:sz w:val="24"/>
          <w:szCs w:val="24"/>
          <w:rtl w:val="0"/>
        </w:rPr>
        <w:t xml:space="preserve">eing regarding the inclusion of studies, they had to come to an agreement through discussion. </w:t>
      </w:r>
    </w:p>
    <w:p w:rsidR="00000000" w:rsidDel="00000000" w:rsidP="00000000" w:rsidRDefault="00000000" w:rsidRPr="00000000" w14:paraId="00000043">
      <w:pPr>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Following a detailed review of full-text articles, two independent reviewers further excluded studies that did not meet inclusion criteria, ensuring that the selected studies were most pertinent to the topic. </w:t>
      </w:r>
    </w:p>
    <w:p w:rsidR="00000000" w:rsidDel="00000000" w:rsidP="00000000" w:rsidRDefault="00000000" w:rsidRPr="00000000" w14:paraId="00000044">
      <w:pPr>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2.3. Inclusion criteria</w:t>
      </w:r>
    </w:p>
    <w:p w:rsidR="00000000" w:rsidDel="00000000" w:rsidP="00000000" w:rsidRDefault="00000000" w:rsidRPr="00000000" w14:paraId="0000004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Studies were selected when they met the following criteria: 1) The inclusion of adult participants (over 18 years of age and of any sex) confirmed to have AS (axial AS) using the revised New York or ASIS criteria. 2) The study focused on gut dysbiosis, defined as changes in the composition, diversity, or function of the intestinal microbiota. 3) The examination of the gut-related microbiome using gene sequencing methods such as 16S rRNA, metagenomics, and real-time PCR. 4) Studies with AS and gut dysbiosis were compared to those with no AS serving as a control group. 5) Studies published in English. 6) The publication date of studies ranged from 2000 to 31.01.2025. </w:t>
      </w:r>
    </w:p>
    <w:p w:rsidR="00000000" w:rsidDel="00000000" w:rsidP="00000000" w:rsidRDefault="00000000" w:rsidRPr="00000000" w14:paraId="00000046">
      <w:pPr>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2.4. Data extraction</w:t>
      </w:r>
    </w:p>
    <w:p w:rsidR="00000000" w:rsidDel="00000000" w:rsidP="00000000" w:rsidRDefault="00000000" w:rsidRPr="00000000" w14:paraId="0000004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Data extraction was done from the selected studies that met the established inclusion criteria. A data extraction form used to record the data extracted after screening the research articles. Two reviewers independently documented the information from each study, which included the authors’ names, the year of publication, the study design, characteristics of the study population such as number of participants, gender ratio, age and disease duration. Other elements of the study such as the sequencing methods (16S rRNA gene, shotgun), the type of sample used for analysis, and the species identified were also recorded. Outcome measures identified the main changes in AS versus control groups such as variation in disease activity, as measured by conventional assessment tools like BASDAI, ASDAS and BASFI. </w:t>
      </w:r>
    </w:p>
    <w:p w:rsidR="00000000" w:rsidDel="00000000" w:rsidP="00000000" w:rsidRDefault="00000000" w:rsidRPr="00000000" w14:paraId="00000048">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Data synthesis and analysis</w:t>
      </w:r>
    </w:p>
    <w:p w:rsidR="00000000" w:rsidDel="00000000" w:rsidP="00000000" w:rsidRDefault="00000000" w:rsidRPr="00000000" w14:paraId="00000049">
      <w:pPr>
        <w:jc w:val="left"/>
        <w:rPr>
          <w:rFonts w:ascii="Times New Roman" w:cs="Times New Roman" w:eastAsia="Times New Roman" w:hAnsi="Times New Roman"/>
          <w:sz w:val="24"/>
          <w:szCs w:val="24"/>
        </w:rPr>
        <w:sectPr>
          <w:pgSz w:h="15840" w:w="12240" w:orient="portrait"/>
          <w:pgMar w:bottom="1134" w:top="1134" w:left="1701" w:right="850" w:header="720" w:footer="720"/>
          <w:pgNumType w:start="1"/>
        </w:sectPr>
      </w:pPr>
      <w:r w:rsidDel="00000000" w:rsidR="00000000" w:rsidRPr="00000000">
        <w:rPr>
          <w:rFonts w:ascii="Times New Roman" w:cs="Times New Roman" w:eastAsia="Times New Roman" w:hAnsi="Times New Roman"/>
          <w:sz w:val="24"/>
          <w:szCs w:val="24"/>
          <w:rtl w:val="0"/>
        </w:rPr>
        <w:tab/>
        <w:t xml:space="preserve">The articles in the systematic review were analyzed and data was compiled using a narrative synthesis. The PRISMA checklist was used to conduct a systematic review, and a thorough method for selecting articles was outlined. </w:t>
      </w:r>
      <w:r w:rsidDel="00000000" w:rsidR="00000000" w:rsidRPr="00000000">
        <w:rPr>
          <w:rtl w:val="0"/>
        </w:rPr>
      </w:r>
    </w:p>
    <w:p w:rsidR="00000000" w:rsidDel="00000000" w:rsidP="00000000" w:rsidRDefault="00000000" w:rsidRPr="00000000" w14:paraId="0000004A">
      <w:pPr>
        <w:numPr>
          <w:ilvl w:val="0"/>
          <w:numId w:val="1"/>
        </w:numPr>
        <w:ind w:left="1440" w:hanging="360"/>
        <w:jc w:val="left"/>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Results</w:t>
      </w:r>
    </w:p>
    <w:p w:rsidR="00000000" w:rsidDel="00000000" w:rsidP="00000000" w:rsidRDefault="00000000" w:rsidRPr="00000000" w14:paraId="0000004B">
      <w:pPr>
        <w:ind w:firstLine="720"/>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3.1 General characteristics</w:t>
      </w:r>
    </w:p>
    <w:p w:rsidR="00000000" w:rsidDel="00000000" w:rsidP="00000000" w:rsidRDefault="00000000" w:rsidRPr="00000000" w14:paraId="0000004C">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analyzed a total of 38 research articles (17 cross-sectional studies, 9 case-control studies,1 multi-omics analysis, 1 cohort studies, 6 longitudinal studies, 1 metagenomic study, 1 interventional study, 2 prospective observational study ) met inclusion criteria, comprising a total of 2425 AS patients, 419 patients with other diseases as comparison and 1027 patients as healthy controls (HC) (Table 1). Sample size ranged from 9 to 480, reporting gut dysbiosis in AS patients from 12 countries across five continents for our systematic review. Included studies were performed in China, USA, Italy, Sweden, Australia, France, Romania, Belgium, Poland, Germany, UK, South Korea. The studies that met our inclusion criteria were published within the past decade, with a noticeable surge in publication observed in 2020, 2022 and 2024. Twenty eight studies used healthy controls and AS, comparing disease activity parameters (Table 2) and ten papers studied gut microbiome changes to treatment between control and AS patients (Table 3). Most of the studies used 16S rRNA sequencing of V3-V4 regions (n=25), eight studies used shotgun metagenomic methods and only two studies used q-PCR. </w:t>
      </w:r>
    </w:p>
    <w:p w:rsidR="00000000" w:rsidDel="00000000" w:rsidP="00000000" w:rsidRDefault="00000000" w:rsidRPr="00000000" w14:paraId="0000004D">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Similarly, the severity of AS also varied widely across subjects covered in this study. Both the Bath Ankylosing Spondylitis Disease Activity Index (BASDAI) measuring between 0.4 to 9.6, and the Ankylosing Spondylitis Disease Activity Score (ASDAS) from 0.7 to 71.8, were effective tools for measuring AS disease activity and severity. Some bacterial genera, such as Prevotella, Ruminococcus, and Dialister, were differentially abundant in AS patients. Conversely, some other taxa such as Verrucomicrobia, and Clostridia, were less prevalent among AS patients. The study population had a top Bath Ankylosing Spondylitis Functional Index (BASFI) score of 9.11, indicating a general severe impairment of functional status. A comparative gut microbiota profile analysis between AS patients and healthy controls revealed that some bacterial communities were associated with disease activity and certain symptoms. In general, the selected research articles reviewed in this review were of high quality.</w:t>
      </w:r>
    </w:p>
    <w:p w:rsidR="00000000" w:rsidDel="00000000" w:rsidP="00000000" w:rsidRDefault="00000000" w:rsidRPr="00000000" w14:paraId="0000004E">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Table 1. General characteristics of selected studies </w:t>
      </w:r>
    </w:p>
    <w:sdt>
      <w:sdtPr>
        <w:lock w:val="contentLocked"/>
        <w:tag w:val="goog_rdk_0"/>
      </w:sdtPr>
      <w:sdtContent>
        <w:tbl>
          <w:tblPr>
            <w:tblStyle w:val="Table1"/>
            <w:tblW w:w="1329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7.6666666666667"/>
            <w:gridCol w:w="1107.6666666666667"/>
            <w:gridCol w:w="1107.6666666666667"/>
            <w:gridCol w:w="1107.6666666666667"/>
            <w:gridCol w:w="1107.6666666666667"/>
            <w:gridCol w:w="1107.6666666666667"/>
            <w:gridCol w:w="1107.6666666666667"/>
            <w:gridCol w:w="1107.6666666666667"/>
            <w:gridCol w:w="1107.6666666666667"/>
            <w:gridCol w:w="1107.6666666666667"/>
            <w:gridCol w:w="1107.6666666666667"/>
            <w:gridCol w:w="1107.6666666666667"/>
            <w:tblGridChange w:id="0">
              <w:tblGrid>
                <w:gridCol w:w="1107.6666666666667"/>
                <w:gridCol w:w="1107.6666666666667"/>
                <w:gridCol w:w="1107.6666666666667"/>
                <w:gridCol w:w="1107.6666666666667"/>
                <w:gridCol w:w="1107.6666666666667"/>
                <w:gridCol w:w="1107.6666666666667"/>
                <w:gridCol w:w="1107.6666666666667"/>
                <w:gridCol w:w="1107.6666666666667"/>
                <w:gridCol w:w="1107.6666666666667"/>
                <w:gridCol w:w="1107.6666666666667"/>
                <w:gridCol w:w="1107.6666666666667"/>
                <w:gridCol w:w="1107.6666666666667"/>
              </w:tblGrid>
            </w:tblGridChange>
          </w:tblGrid>
          <w:tr>
            <w:trPr>
              <w:cantSplit w:val="0"/>
              <w:tblHeader w:val="0"/>
            </w:trPr>
            <w:tc>
              <w:tcPr>
                <w:tcBorders>
                  <w:top w:color="000000" w:space="0" w:sz="12" w:val="single"/>
                  <w:left w:color="000000" w:space="0" w:sz="0" w:val="nil"/>
                  <w:bottom w:color="000000" w:space="0" w:sz="12"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1"/>
                    <w:i w:val="1"/>
                    <w:sz w:val="18"/>
                    <w:szCs w:val="18"/>
                  </w:rPr>
                </w:pPr>
                <w:r w:rsidDel="00000000" w:rsidR="00000000" w:rsidRPr="00000000">
                  <w:rPr>
                    <w:rFonts w:ascii="Palatino Linotype" w:cs="Palatino Linotype" w:eastAsia="Palatino Linotype" w:hAnsi="Palatino Linotype"/>
                    <w:b w:val="1"/>
                    <w:i w:val="1"/>
                    <w:sz w:val="18"/>
                    <w:szCs w:val="18"/>
                    <w:rtl w:val="0"/>
                  </w:rPr>
                  <w:t xml:space="preserve">First author, year </w:t>
                </w:r>
              </w:p>
            </w:tc>
            <w:tc>
              <w:tcPr>
                <w:tcBorders>
                  <w:top w:color="000000" w:space="0" w:sz="12" w:val="single"/>
                  <w:left w:color="000000" w:space="0" w:sz="0" w:val="nil"/>
                  <w:bottom w:color="000000" w:space="0" w:sz="12"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1"/>
                    <w:i w:val="1"/>
                    <w:sz w:val="18"/>
                    <w:szCs w:val="18"/>
                  </w:rPr>
                </w:pPr>
                <w:r w:rsidDel="00000000" w:rsidR="00000000" w:rsidRPr="00000000">
                  <w:rPr>
                    <w:rFonts w:ascii="Palatino Linotype" w:cs="Palatino Linotype" w:eastAsia="Palatino Linotype" w:hAnsi="Palatino Linotype"/>
                    <w:b w:val="1"/>
                    <w:i w:val="1"/>
                    <w:sz w:val="18"/>
                    <w:szCs w:val="18"/>
                    <w:rtl w:val="0"/>
                  </w:rPr>
                  <w:t xml:space="preserve">Country </w:t>
                </w:r>
              </w:p>
            </w:tc>
            <w:tc>
              <w:tcPr>
                <w:tcBorders>
                  <w:top w:color="000000" w:space="0" w:sz="12" w:val="single"/>
                  <w:left w:color="000000" w:space="0" w:sz="0" w:val="nil"/>
                  <w:bottom w:color="000000" w:space="0" w:sz="12"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1"/>
                    <w:i w:val="1"/>
                    <w:sz w:val="18"/>
                    <w:szCs w:val="18"/>
                  </w:rPr>
                </w:pPr>
                <w:r w:rsidDel="00000000" w:rsidR="00000000" w:rsidRPr="00000000">
                  <w:rPr>
                    <w:rFonts w:ascii="Palatino Linotype" w:cs="Palatino Linotype" w:eastAsia="Palatino Linotype" w:hAnsi="Palatino Linotype"/>
                    <w:b w:val="1"/>
                    <w:i w:val="1"/>
                    <w:sz w:val="18"/>
                    <w:szCs w:val="18"/>
                    <w:rtl w:val="0"/>
                  </w:rPr>
                  <w:t xml:space="preserve">Cohort source </w:t>
                </w:r>
              </w:p>
            </w:tc>
            <w:tc>
              <w:tcPr>
                <w:tcBorders>
                  <w:top w:color="000000" w:space="0" w:sz="12" w:val="single"/>
                  <w:left w:color="000000" w:space="0" w:sz="0" w:val="nil"/>
                  <w:bottom w:color="000000" w:space="0" w:sz="12"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1"/>
                    <w:i w:val="1"/>
                    <w:sz w:val="18"/>
                    <w:szCs w:val="18"/>
                  </w:rPr>
                </w:pPr>
                <w:r w:rsidDel="00000000" w:rsidR="00000000" w:rsidRPr="00000000">
                  <w:rPr>
                    <w:rFonts w:ascii="Palatino Linotype" w:cs="Palatino Linotype" w:eastAsia="Palatino Linotype" w:hAnsi="Palatino Linotype"/>
                    <w:b w:val="1"/>
                    <w:i w:val="1"/>
                    <w:sz w:val="18"/>
                    <w:szCs w:val="18"/>
                    <w:rtl w:val="0"/>
                  </w:rPr>
                  <w:t xml:space="preserve">Study design </w:t>
                </w:r>
              </w:p>
            </w:tc>
            <w:tc>
              <w:tcPr>
                <w:tcBorders>
                  <w:top w:color="000000" w:space="0" w:sz="12" w:val="single"/>
                  <w:left w:color="000000" w:space="0" w:sz="0" w:val="nil"/>
                  <w:bottom w:color="000000" w:space="0" w:sz="12"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1"/>
                    <w:i w:val="1"/>
                    <w:sz w:val="18"/>
                    <w:szCs w:val="18"/>
                  </w:rPr>
                </w:pPr>
                <w:r w:rsidDel="00000000" w:rsidR="00000000" w:rsidRPr="00000000">
                  <w:rPr>
                    <w:rFonts w:ascii="Palatino Linotype" w:cs="Palatino Linotype" w:eastAsia="Palatino Linotype" w:hAnsi="Palatino Linotype"/>
                    <w:b w:val="1"/>
                    <w:i w:val="1"/>
                    <w:sz w:val="18"/>
                    <w:szCs w:val="18"/>
                    <w:rtl w:val="0"/>
                  </w:rPr>
                  <w:t xml:space="preserve">Total patient, N/ AS patient, N </w:t>
                </w:r>
              </w:p>
            </w:tc>
            <w:tc>
              <w:tcPr>
                <w:tcBorders>
                  <w:top w:color="000000" w:space="0" w:sz="12" w:val="single"/>
                  <w:left w:color="000000" w:space="0" w:sz="0" w:val="nil"/>
                  <w:bottom w:color="000000" w:space="0" w:sz="12"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1"/>
                    <w:i w:val="1"/>
                    <w:sz w:val="18"/>
                    <w:szCs w:val="18"/>
                  </w:rPr>
                </w:pPr>
                <w:r w:rsidDel="00000000" w:rsidR="00000000" w:rsidRPr="00000000">
                  <w:rPr>
                    <w:rFonts w:ascii="Palatino Linotype" w:cs="Palatino Linotype" w:eastAsia="Palatino Linotype" w:hAnsi="Palatino Linotype"/>
                    <w:b w:val="1"/>
                    <w:i w:val="1"/>
                    <w:sz w:val="18"/>
                    <w:szCs w:val="18"/>
                    <w:rtl w:val="0"/>
                  </w:rPr>
                  <w:t xml:space="preserve">M/F ratio</w:t>
                </w:r>
              </w:p>
            </w:tc>
            <w:tc>
              <w:tcPr>
                <w:tcBorders>
                  <w:top w:color="000000" w:space="0" w:sz="12" w:val="single"/>
                  <w:left w:color="000000" w:space="0" w:sz="0" w:val="nil"/>
                  <w:bottom w:color="000000" w:space="0" w:sz="12"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1"/>
                    <w:i w:val="1"/>
                    <w:sz w:val="18"/>
                    <w:szCs w:val="18"/>
                  </w:rPr>
                </w:pPr>
                <w:r w:rsidDel="00000000" w:rsidR="00000000" w:rsidRPr="00000000">
                  <w:rPr>
                    <w:rFonts w:ascii="Palatino Linotype" w:cs="Palatino Linotype" w:eastAsia="Palatino Linotype" w:hAnsi="Palatino Linotype"/>
                    <w:b w:val="1"/>
                    <w:i w:val="1"/>
                    <w:sz w:val="18"/>
                    <w:szCs w:val="18"/>
                    <w:rtl w:val="0"/>
                  </w:rPr>
                  <w:t xml:space="preserve">Sample type</w:t>
                </w:r>
              </w:p>
            </w:tc>
            <w:tc>
              <w:tcPr>
                <w:tcBorders>
                  <w:top w:color="000000" w:space="0" w:sz="12" w:val="single"/>
                  <w:left w:color="000000" w:space="0" w:sz="0" w:val="nil"/>
                  <w:bottom w:color="000000" w:space="0" w:sz="12"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1"/>
                    <w:i w:val="1"/>
                    <w:sz w:val="18"/>
                    <w:szCs w:val="18"/>
                  </w:rPr>
                </w:pPr>
                <w:r w:rsidDel="00000000" w:rsidR="00000000" w:rsidRPr="00000000">
                  <w:rPr>
                    <w:rFonts w:ascii="Palatino Linotype" w:cs="Palatino Linotype" w:eastAsia="Palatino Linotype" w:hAnsi="Palatino Linotype"/>
                    <w:b w:val="1"/>
                    <w:i w:val="1"/>
                    <w:sz w:val="18"/>
                    <w:szCs w:val="18"/>
                    <w:rtl w:val="0"/>
                  </w:rPr>
                  <w:t xml:space="preserve">Treatment </w:t>
                </w:r>
              </w:p>
            </w:tc>
            <w:tc>
              <w:tcPr>
                <w:tcBorders>
                  <w:top w:color="000000" w:space="0" w:sz="12" w:val="single"/>
                  <w:left w:color="000000" w:space="0" w:sz="0" w:val="nil"/>
                  <w:bottom w:color="000000" w:space="0" w:sz="12"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1"/>
                    <w:i w:val="1"/>
                    <w:sz w:val="18"/>
                    <w:szCs w:val="18"/>
                  </w:rPr>
                </w:pPr>
                <w:r w:rsidDel="00000000" w:rsidR="00000000" w:rsidRPr="00000000">
                  <w:rPr>
                    <w:rFonts w:ascii="Palatino Linotype" w:cs="Palatino Linotype" w:eastAsia="Palatino Linotype" w:hAnsi="Palatino Linotype"/>
                    <w:b w:val="1"/>
                    <w:i w:val="1"/>
                    <w:sz w:val="18"/>
                    <w:szCs w:val="18"/>
                    <w:rtl w:val="0"/>
                  </w:rPr>
                  <w:t xml:space="preserve">Disease activity (BASDAI/ BASFI/ASDAS)</w:t>
                </w:r>
              </w:p>
            </w:tc>
            <w:tc>
              <w:tcPr>
                <w:tcBorders>
                  <w:top w:color="000000" w:space="0" w:sz="12" w:val="single"/>
                  <w:left w:color="000000" w:space="0" w:sz="0" w:val="nil"/>
                  <w:bottom w:color="000000" w:space="0" w:sz="12"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1"/>
                    <w:i w:val="1"/>
                    <w:sz w:val="18"/>
                    <w:szCs w:val="18"/>
                  </w:rPr>
                </w:pPr>
                <w:r w:rsidDel="00000000" w:rsidR="00000000" w:rsidRPr="00000000">
                  <w:rPr>
                    <w:rFonts w:ascii="Palatino Linotype" w:cs="Palatino Linotype" w:eastAsia="Palatino Linotype" w:hAnsi="Palatino Linotype"/>
                    <w:b w:val="1"/>
                    <w:i w:val="1"/>
                    <w:sz w:val="18"/>
                    <w:szCs w:val="18"/>
                    <w:rtl w:val="0"/>
                  </w:rPr>
                  <w:t xml:space="preserve">Other medical history, N</w:t>
                </w:r>
              </w:p>
            </w:tc>
            <w:tc>
              <w:tcPr>
                <w:tcBorders>
                  <w:top w:color="000000" w:space="0" w:sz="12" w:val="single"/>
                  <w:left w:color="000000" w:space="0" w:sz="0" w:val="nil"/>
                  <w:bottom w:color="000000" w:space="0" w:sz="12"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1"/>
                    <w:i w:val="1"/>
                    <w:sz w:val="18"/>
                    <w:szCs w:val="18"/>
                  </w:rPr>
                </w:pPr>
                <w:r w:rsidDel="00000000" w:rsidR="00000000" w:rsidRPr="00000000">
                  <w:rPr>
                    <w:rFonts w:ascii="Palatino Linotype" w:cs="Palatino Linotype" w:eastAsia="Palatino Linotype" w:hAnsi="Palatino Linotype"/>
                    <w:b w:val="1"/>
                    <w:i w:val="1"/>
                    <w:sz w:val="18"/>
                    <w:szCs w:val="18"/>
                    <w:rtl w:val="0"/>
                  </w:rPr>
                  <w:t xml:space="preserve">HLA-B27%</w:t>
                </w:r>
              </w:p>
            </w:tc>
            <w:tc>
              <w:tcPr>
                <w:tcBorders>
                  <w:top w:color="000000" w:space="0" w:sz="12" w:val="single"/>
                  <w:left w:color="000000" w:space="0" w:sz="0" w:val="nil"/>
                  <w:bottom w:color="000000" w:space="0" w:sz="12"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b w:val="1"/>
                    <w:i w:val="1"/>
                    <w:sz w:val="18"/>
                    <w:szCs w:val="18"/>
                  </w:rPr>
                </w:pPr>
                <w:r w:rsidDel="00000000" w:rsidR="00000000" w:rsidRPr="00000000">
                  <w:rPr>
                    <w:rFonts w:ascii="Palatino Linotype" w:cs="Palatino Linotype" w:eastAsia="Palatino Linotype" w:hAnsi="Palatino Linotype"/>
                    <w:b w:val="1"/>
                    <w:i w:val="1"/>
                    <w:sz w:val="18"/>
                    <w:szCs w:val="18"/>
                    <w:rtl w:val="0"/>
                  </w:rPr>
                  <w:t xml:space="preserve">Sequencing </w:t>
                </w:r>
              </w:p>
            </w:tc>
          </w:tr>
          <w:tr>
            <w:trPr>
              <w:cantSplit w:val="0"/>
              <w:tblHeader w:val="0"/>
            </w:trPr>
            <w:tc>
              <w:tcPr>
                <w:tcBorders>
                  <w:top w:color="000000" w:space="0" w:sz="12" w:val="single"/>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06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Asquith M, 2019</w:t>
                </w:r>
              </w:p>
            </w:tc>
            <w:tc>
              <w:tcPr>
                <w:tcBorders>
                  <w:top w:color="000000" w:space="0" w:sz="12" w:val="single"/>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6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USA</w:t>
                </w:r>
              </w:p>
            </w:tc>
            <w:tc>
              <w:tcPr>
                <w:tcBorders>
                  <w:top w:color="000000" w:space="0" w:sz="12" w:val="single"/>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6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Oregon Health &amp; Science University’s Center for Health and Healing, TwinsUK</w:t>
                </w:r>
              </w:p>
            </w:tc>
            <w:tc>
              <w:tcPr>
                <w:tcBorders>
                  <w:top w:color="000000" w:space="0" w:sz="12" w:val="single"/>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6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Cross-sectional observational study </w:t>
                </w:r>
              </w:p>
            </w:tc>
            <w:tc>
              <w:tcPr>
                <w:tcBorders>
                  <w:top w:color="000000" w:space="0" w:sz="12" w:val="single"/>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6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83</w:t>
                </w:r>
              </w:p>
            </w:tc>
            <w:tc>
              <w:tcPr>
                <w:tcBorders>
                  <w:top w:color="000000" w:space="0" w:sz="12" w:val="single"/>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6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37/46</w:t>
                </w:r>
              </w:p>
            </w:tc>
            <w:tc>
              <w:tcPr>
                <w:tcBorders>
                  <w:top w:color="000000" w:space="0" w:sz="12" w:val="single"/>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6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tl w:val="0"/>
                  </w:rPr>
                </w:r>
              </w:p>
              <w:p w:rsidR="00000000" w:rsidDel="00000000" w:rsidP="00000000" w:rsidRDefault="00000000" w:rsidRPr="00000000" w14:paraId="0000006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and biopsy samples</w:t>
                </w:r>
              </w:p>
            </w:tc>
            <w:tc>
              <w:tcPr>
                <w:tcBorders>
                  <w:top w:color="000000" w:space="0" w:sz="12" w:val="single"/>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top w:color="000000" w:space="0" w:sz="12" w:val="single"/>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6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top w:color="000000" w:space="0" w:sz="12" w:val="single"/>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000000" w:space="0" w:sz="12" w:val="single"/>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6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w:t>
                </w:r>
              </w:p>
            </w:tc>
            <w:tc>
              <w:tcPr>
                <w:tcBorders>
                  <w:top w:color="000000" w:space="0" w:sz="12" w:val="single"/>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6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07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Berland M, 2023</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7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France</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7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 the Rheumatology clinic of the Ambroise Paré Hospital, Boulogne; </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7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Case-control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7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102</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7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50/52</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7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7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3.78±2.29</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i w:val="1"/>
                    <w:sz w:val="18"/>
                    <w:szCs w:val="18"/>
                  </w:rPr>
                </w:pPr>
                <w:r w:rsidDel="00000000" w:rsidR="00000000" w:rsidRPr="00000000">
                  <w:rPr>
                    <w:rFonts w:ascii="Palatino Linotype" w:cs="Palatino Linotype" w:eastAsia="Palatino Linotype" w:hAnsi="Palatino Linotype"/>
                    <w:i w:val="1"/>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7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82.50%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7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Shotgun metagenomic 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07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Berlinberg AJ, 2021</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7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USA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7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University of Colorado Hospital</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7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Multi Omics analysis (metabolomics and shotgun metagenomics)</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8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21</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8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12/9</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8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Colon tissue biopsies, 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8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4.76±2.4</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CD(27), CD-axSpA(12)</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8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82.6%</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8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Shotgun metagenomics</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08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Breban M, 2017</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8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France</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8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rheumatology clinic of Ambroise Paré Hospital</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8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8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38</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8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18/20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8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8F">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9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3.6±2.2</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SpA(49), RA(17)</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9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97.40%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9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09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Cardoneanu A, Cozma S, 2021</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9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Romania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9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 Iasi Rehabilitation Hospital</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9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Prospective case</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control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9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28</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9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17/11</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9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9B">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9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4.83; (3.87-5.79)</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tl w:val="0"/>
                  </w:rPr>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9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78.6%</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A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q-PCR</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0A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Chen Z, 2019</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A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A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 Clinic of Rheumatology and Immunology Department of the Third Affiliated Hospital of Sun Yat-sen University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A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case-control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A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A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16/4</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A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A8">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A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ASDAS:1.65(IQR1.95)</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axAS, pAS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A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95%</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A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w:t>
                </w:r>
              </w:p>
            </w:tc>
          </w:tr>
          <w:tr>
            <w:trPr>
              <w:cantSplit w:val="0"/>
              <w:trHeight w:val="248.53613281249537" w:hRule="atLeast"/>
              <w:tblHeader w:val="0"/>
            </w:trPr>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AD">
                <w:pPr>
                  <w:widowControl w:val="1"/>
                  <w:spacing w:after="0" w:line="276" w:lineRule="auto"/>
                  <w:jc w:val="center"/>
                  <w:rPr>
                    <w:rFonts w:ascii="Palatino Linotype" w:cs="Palatino Linotype" w:eastAsia="Palatino Linotype" w:hAnsi="Palatino Linotype"/>
                    <w:sz w:val="18"/>
                    <w:szCs w:val="18"/>
                    <w:highlight w:val="yellow"/>
                  </w:rPr>
                </w:pPr>
                <w:r w:rsidDel="00000000" w:rsidR="00000000" w:rsidRPr="00000000">
                  <w:rPr>
                    <w:rFonts w:ascii="Palatino Linotype" w:cs="Palatino Linotype" w:eastAsia="Palatino Linotype" w:hAnsi="Palatino Linotype"/>
                    <w:sz w:val="18"/>
                    <w:szCs w:val="18"/>
                    <w:highlight w:val="yellow"/>
                    <w:rtl w:val="0"/>
                  </w:rPr>
                  <w:t xml:space="preserve">Chmielinska M, 2024</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A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Poland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A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National Institute of Geriatrics, Rheumatology and Reha bilitation</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B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Prospective observational cohort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B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48</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B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21/27</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B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Blood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B4">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biological therapy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B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6.9(5.6-8.0)</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axSpA, nr-axSpA, axPsA, IBD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B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79.2%</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B8">
                <w:pPr>
                  <w:widowControl w:val="1"/>
                  <w:spacing w:after="0" w:line="276" w:lineRule="auto"/>
                  <w:jc w:val="center"/>
                  <w:rPr>
                    <w:rFonts w:ascii="Palatino Linotype" w:cs="Palatino Linotype" w:eastAsia="Palatino Linotype" w:hAnsi="Palatino Linotype"/>
                    <w:sz w:val="18"/>
                    <w:szCs w:val="18"/>
                    <w:highlight w:val="yellow"/>
                  </w:rPr>
                </w:pPr>
                <w:r w:rsidDel="00000000" w:rsidR="00000000" w:rsidRPr="00000000">
                  <w:rPr>
                    <w:rFonts w:ascii="Palatino Linotype" w:cs="Palatino Linotype" w:eastAsia="Palatino Linotype" w:hAnsi="Palatino Linotype"/>
                    <w:sz w:val="18"/>
                    <w:szCs w:val="18"/>
                    <w:highlight w:val="yellow"/>
                    <w:rtl w:val="0"/>
                  </w:rPr>
                  <w:t xml:space="preserve">ND</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0B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Costello ME, 2015</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B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Australia, Italy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B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B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 sectional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B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9</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B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7/2</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B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Terminal ileal biopsies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C0">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C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6(4.8-8.0)</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C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C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culture-independent</w:t>
                </w:r>
              </w:p>
              <w:p w:rsidR="00000000" w:rsidDel="00000000" w:rsidP="00000000" w:rsidRDefault="00000000" w:rsidRPr="00000000" w14:paraId="000000C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gene</w:t>
                </w:r>
              </w:p>
            </w:tc>
          </w:tr>
          <w:tr>
            <w:trPr>
              <w:cantSplit w:val="0"/>
              <w:tblHeader w:val="0"/>
            </w:trPr>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C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Dai Q, 2022</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C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C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West China Hospital</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C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Longitudinal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C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24</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C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22/2</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C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CD">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anti-TNF</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C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3.86±0.78/1.56±0.68</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D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D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w:t>
                </w:r>
              </w:p>
              <w:p w:rsidR="00000000" w:rsidDel="00000000" w:rsidP="00000000" w:rsidRDefault="00000000" w:rsidRPr="00000000" w14:paraId="000000D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0D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Essex M, 2023</w:t>
                </w:r>
              </w:p>
            </w:tc>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0D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Germany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D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German Spondyloarthritis Inception Cohort</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D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observational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D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102</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D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65/37</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D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DA">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D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AAU(103), CD(72)</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D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87.3%</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D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0D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Gill T, 2022</w:t>
                </w:r>
              </w:p>
            </w:tc>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0E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USA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E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Oregon Health and Science University</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E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Case-control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E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17</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E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7/10</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E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Feces and saliva</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E6">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E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3.5(2.4, 5.5) BASFI: 3.2(1.4, 4.2) </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E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94%</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E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 (IgA-SEQ)</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0E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Guggino G, 2021</w:t>
                </w:r>
              </w:p>
            </w:tc>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0E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Italy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E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 University of Palermo</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E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Case</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control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E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F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34/6</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F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Peripheral blood, ileal tissue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F2">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F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CD(10)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F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0F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qRT-PCR, immunohistochemistry, flow cytometry, confocal microscopy</w:t>
                </w:r>
              </w:p>
            </w:tc>
          </w:tr>
          <w:tr>
            <w:trPr>
              <w:cantSplit w:val="0"/>
              <w:tblHeader w:val="0"/>
            </w:trPr>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F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Huang R, 2020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F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F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 The Second Affili ated Hospital, Guangzhou University of Chinese Medicine, Guangzhou</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F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observational</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F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113</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F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F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0FE">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F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0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0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Metagenomic 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0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Klingberg E, 2019</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0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Sweden</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0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 rheumatology clinics in the west of Sweden;  Sahlgrenska University Hospital</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0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observational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0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150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0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83/67</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0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0A">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0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3.2(1.8-5.2), BASFI: 2.3(1.1-4.1)</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UC(18)</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0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84.70%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0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theGA-mapTMDysbio sisTest</w:t>
                </w:r>
              </w:p>
            </w:tc>
          </w:tr>
          <w:tr>
            <w:trPr>
              <w:cantSplit w:val="0"/>
              <w:tblHeader w:val="0"/>
            </w:trPr>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0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Lai Y et al.. 2024</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1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1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1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Longitudinal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1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29</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1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21/8</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1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16">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anti-TNF</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11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3.25±1.58/1.72±1.38</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1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1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Metagenomic sequencing, metabolomics</w:t>
                </w:r>
              </w:p>
            </w:tc>
          </w:tr>
          <w:tr>
            <w:trPr>
              <w:cantSplit w:val="0"/>
              <w:tblHeader w:val="0"/>
            </w:trPr>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1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Li M, 2019</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1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1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Dalian Municipal Central Hospital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1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1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22</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2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22/0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2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22">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2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5.05(2.1-9.4)</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2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85.71%</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2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2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Liu B, 2022</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2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2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Lishui People's Hospital</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12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2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2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2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2E">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2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2.86</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3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3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w:t>
                </w:r>
              </w:p>
              <w:p w:rsidR="00000000" w:rsidDel="00000000" w:rsidP="00000000" w:rsidRDefault="00000000" w:rsidRPr="00000000" w14:paraId="0000013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3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Liu G, 2020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3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3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Tianjin</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3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3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3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6/4</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3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3B">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3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3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3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4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Manasson J, 2020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4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USA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4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University of Palermo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4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Longitudinal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4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29</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4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14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 ileal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47">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IL17 inhibition</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4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4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13.30%</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14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 Metagenomic 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4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Miguens Blanco J, 2020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4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UK</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4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Hammersmith Hospital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4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Multicenter, prospective, observational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5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5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5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 blood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53">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5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5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5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 Nanopore 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5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Min HK, 2023</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5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South Korea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5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Seoul Saint Mary's Hospital </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15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5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33</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5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30/3</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5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5F">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6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2.9±2.1</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6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97%</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6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w:t>
                </w:r>
              </w:p>
              <w:p w:rsidR="00000000" w:rsidDel="00000000" w:rsidP="00000000" w:rsidRDefault="00000000" w:rsidRPr="00000000" w14:paraId="0000016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6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Sagard J, 2022</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6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Sweden</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6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Department of Rheumatology, Skåne University Hospital</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16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6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88</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6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55/33</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6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6C">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6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1.6(0.8-2.40); BASFI: 1.5(0.6-2.4)</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nr-axSpA(44)</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6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84%</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7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w:t>
                </w:r>
              </w:p>
              <w:p w:rsidR="00000000" w:rsidDel="00000000" w:rsidP="00000000" w:rsidRDefault="00000000" w:rsidRPr="00000000" w14:paraId="0000017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7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Sternes PR, 2022</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7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Australia, Sweden, Italy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74">
                <w:pPr>
                  <w:widowControl w:val="1"/>
                  <w:spacing w:after="0" w:line="276" w:lineRule="auto"/>
                  <w:jc w:val="left"/>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Princess Alexandra Hospital (Australia), Logan Hospital (Australia), University of Palermo (Italy</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17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7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Australian</w:t>
                </w:r>
              </w:p>
              <w:p w:rsidR="00000000" w:rsidDel="00000000" w:rsidP="00000000" w:rsidRDefault="00000000" w:rsidRPr="00000000" w14:paraId="0000017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cohort</w:t>
                </w:r>
              </w:p>
              <w:p w:rsidR="00000000" w:rsidDel="00000000" w:rsidP="00000000" w:rsidRDefault="00000000" w:rsidRPr="00000000" w14:paraId="0000017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 n =28 Swedish cohort</w:t>
                </w:r>
              </w:p>
              <w:p w:rsidR="00000000" w:rsidDel="00000000" w:rsidP="00000000" w:rsidRDefault="00000000" w:rsidRPr="00000000" w14:paraId="0000017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 n =136</w:t>
                </w:r>
              </w:p>
              <w:p w:rsidR="00000000" w:rsidDel="00000000" w:rsidP="00000000" w:rsidRDefault="00000000" w:rsidRPr="00000000" w14:paraId="0000017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Italian cohort</w:t>
                </w:r>
              </w:p>
              <w:p w:rsidR="00000000" w:rsidDel="00000000" w:rsidP="00000000" w:rsidRDefault="00000000" w:rsidRPr="00000000" w14:paraId="0000017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 n =16</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7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24/3, 11/5,95/41</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17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 Australia</w:t>
                </w:r>
              </w:p>
              <w:p w:rsidR="00000000" w:rsidDel="00000000" w:rsidP="00000000" w:rsidRDefault="00000000" w:rsidRPr="00000000" w14:paraId="0000017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cohort had</w:t>
                </w:r>
              </w:p>
              <w:p w:rsidR="00000000" w:rsidDel="00000000" w:rsidP="00000000" w:rsidRDefault="00000000" w:rsidRPr="00000000" w14:paraId="0000017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additional</w:t>
                </w:r>
              </w:p>
              <w:p w:rsidR="00000000" w:rsidDel="00000000" w:rsidP="00000000" w:rsidRDefault="00000000" w:rsidRPr="00000000" w14:paraId="0000018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biopsy from</w:t>
                </w:r>
              </w:p>
              <w:p w:rsidR="00000000" w:rsidDel="00000000" w:rsidP="00000000" w:rsidRDefault="00000000" w:rsidRPr="00000000" w14:paraId="0000018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terminal ileum,</w:t>
                </w:r>
              </w:p>
              <w:p w:rsidR="00000000" w:rsidDel="00000000" w:rsidP="00000000" w:rsidRDefault="00000000" w:rsidRPr="00000000" w14:paraId="0000018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rectum and right</w:t>
                </w:r>
              </w:p>
              <w:p w:rsidR="00000000" w:rsidDel="00000000" w:rsidP="00000000" w:rsidRDefault="00000000" w:rsidRPr="00000000" w14:paraId="0000018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colon</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84">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8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8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8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8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Stoll ML, 2022</w:t>
                </w:r>
              </w:p>
            </w:tc>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8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USA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8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University of Alabama at Birmingham</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8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observational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8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31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8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23/8</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8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90">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9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2.5±2.3; BASFI:1.7±2.4</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9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19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rDNA sequencing, shotgun metagenomics</w:t>
                </w:r>
              </w:p>
            </w:tc>
          </w:tr>
          <w:tr>
            <w:trPr>
              <w:cantSplit w:val="0"/>
              <w:tblHeader w:val="0"/>
            </w:trPr>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9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Sun C, 2024</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9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ab/>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9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The First Affiliated Hospital of Bengbu Medical University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9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Longitudinal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9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9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24/6</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9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Plasma</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9C">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Secukinumab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9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BASDAI:5.6</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9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86.67%</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A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 Metabolomics</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A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Tito RY, 2016</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A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Belgium</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A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Ghent University Hospital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A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observational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A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27</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A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14/13</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A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Ilealand</w:t>
                </w:r>
              </w:p>
              <w:p w:rsidR="00000000" w:rsidDel="00000000" w:rsidP="00000000" w:rsidRDefault="00000000" w:rsidRPr="00000000" w14:paraId="000001A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colonic</w:t>
                </w:r>
              </w:p>
              <w:p w:rsidR="00000000" w:rsidDel="00000000" w:rsidP="00000000" w:rsidRDefault="00000000" w:rsidRPr="00000000" w14:paraId="000001A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biopsies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AA">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A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4.46;(0.4 9.6)</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A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78.60%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A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w:t>
                </w:r>
              </w:p>
            </w:tc>
          </w:tr>
          <w:tr>
            <w:trPr>
              <w:cantSplit w:val="0"/>
              <w:tblHeader w:val="0"/>
            </w:trPr>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A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Vallier M, 2023</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B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France</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B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Cochin Hospital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B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Longitudinal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B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Pretreatment: 61</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B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47/14</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B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B6">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anti-TNF</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B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ASDAS: 2.9±1</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axSpA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B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79%</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B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w:t>
                </w:r>
              </w:p>
              <w:p w:rsidR="00000000" w:rsidDel="00000000" w:rsidP="00000000" w:rsidRDefault="00000000" w:rsidRPr="00000000" w14:paraId="000001B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B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Wen C, 2017</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B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B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Chinese individuals</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B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Case</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control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C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73</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C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40/48</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C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C3">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C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3.3 ± 2.2</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C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C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Metagenomic 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C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Wendling D, 2020</w:t>
                </w:r>
              </w:p>
            </w:tc>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C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France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C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DESIR cohort</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C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Prospective, observational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C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480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C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C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CF">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D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2.05(1.06-3.95)</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IBD(35)</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D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58%</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D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D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Yin J, 2020</w:t>
                </w:r>
              </w:p>
            </w:tc>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D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D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Shanghai Changzheng Hospital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D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Case</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control observational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D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97</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D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D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DB">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anti-TNF</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D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3.33±2.22</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D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96.91%</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D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Metagenomic shotgun 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E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You Y, 2022a</w:t>
                </w:r>
              </w:p>
            </w:tc>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E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E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Quanzhou Orthopedics-Traumatological Hospital</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E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Case</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control observational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E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E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7/2, 18/3, 9/1</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E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E7">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E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2.06±0.79; ASDAS 2.82±0.91; BASFI: 3.13±10.38</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E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E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gene sequencing </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E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You Y, 2022b</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E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E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Chinese Han population ranges</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1E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F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F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35/5</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F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F3">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1F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ASDAS: low &lt;2.1(n=9); medium 2.1 to 3.5 (21); high 3.5&lt; (10)</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F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F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w:t>
                </w:r>
              </w:p>
              <w:p w:rsidR="00000000" w:rsidDel="00000000" w:rsidP="00000000" w:rsidRDefault="00000000" w:rsidRPr="00000000" w14:paraId="000001F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F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Yu X, 2024</w:t>
                </w:r>
              </w:p>
            </w:tc>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1F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F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Hongdu Chinese Medicine Hospital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F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Interventional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F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F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15/15</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1F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200">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Moxibustion</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20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5.01±1.12/3.15±1.24</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0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0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w:t>
                </w:r>
              </w:p>
              <w:p w:rsidR="00000000" w:rsidDel="00000000" w:rsidP="00000000" w:rsidRDefault="00000000" w:rsidRPr="00000000" w14:paraId="0000020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20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Yuan YX, 2024</w:t>
                </w:r>
              </w:p>
            </w:tc>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20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0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Longyan First Hospital Affiliated with Fujian Medical University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0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Case</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control observational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0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24</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0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0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20D">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anti-TNF</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0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4.83±0.39/1.93±0.85</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1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1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gene sequencing </w:t>
                </w:r>
              </w:p>
            </w:tc>
          </w:tr>
          <w:tr>
            <w:trPr>
              <w:cantSplit w:val="0"/>
              <w:tblHeader w:val="0"/>
            </w:trPr>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1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Zhang F , 01.2020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1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1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Union Hospital of Jilin University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1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Longitudinal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1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78</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1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1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219">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anti-TNF</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1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6.94±1.36</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1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1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21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Zhang L, 2019</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1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First Affiliated Hospital of Anhui Medical University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Cross</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sectional study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103</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3">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85/84</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225">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3.06±2.07</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92.60%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w:t>
                </w:r>
              </w:p>
            </w:tc>
          </w:tr>
          <w:tr>
            <w:trPr>
              <w:cantSplit w:val="0"/>
              <w:tblHeader w:val="0"/>
            </w:trPr>
            <w:tc>
              <w:tcPr>
                <w:tcBorders>
                  <w:left w:color="000000" w:space="0" w:sz="0" w:val="nil"/>
                  <w:right w:color="000000" w:space="0" w:sz="0" w:val="nil"/>
                </w:tcBorders>
                <w:shd w:fill="ffffff" w:val="clear"/>
                <w:tcMar>
                  <w:top w:w="40.0" w:type="dxa"/>
                  <w:left w:w="40.0" w:type="dxa"/>
                  <w:bottom w:w="40.0" w:type="dxa"/>
                  <w:right w:w="40.0" w:type="dxa"/>
                </w:tcMar>
                <w:vAlign w:val="bottom"/>
              </w:tcPr>
              <w:p w:rsidR="00000000" w:rsidDel="00000000" w:rsidP="00000000" w:rsidRDefault="00000000" w:rsidRPr="00000000" w14:paraId="0000022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Zhou C, 2020</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China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Peking Union Medical College Hospital</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22D">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Case</w:t>
                </w:r>
                <w:r w:rsidDel="00000000" w:rsidR="00000000" w:rsidRPr="00000000">
                  <w:rPr>
                    <w:rFonts w:ascii="Roboto" w:cs="Roboto" w:eastAsia="Roboto" w:hAnsi="Roboto"/>
                    <w:i w:val="1"/>
                    <w:color w:val="444746"/>
                    <w:sz w:val="20"/>
                    <w:szCs w:val="20"/>
                    <w:highlight w:val="white"/>
                    <w:rtl w:val="0"/>
                  </w:rPr>
                  <w:t xml:space="preserve">‒</w:t>
                </w:r>
                <w:r w:rsidDel="00000000" w:rsidR="00000000" w:rsidRPr="00000000">
                  <w:rPr>
                    <w:rFonts w:ascii="Palatino Linotype" w:cs="Palatino Linotype" w:eastAsia="Palatino Linotype" w:hAnsi="Palatino Linotype"/>
                    <w:sz w:val="18"/>
                    <w:szCs w:val="18"/>
                    <w:rtl w:val="0"/>
                  </w:rPr>
                  <w:t xml:space="preserve">control study</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85</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2F">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67/44</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231">
                <w:pPr>
                  <w:spacing w:after="0" w:line="240"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2">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BASDAI: 3.1±2.0</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4">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87.06%</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5">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Metagenomic shotgun sequencing</w:t>
                </w:r>
              </w:p>
            </w:tc>
          </w:tr>
          <w:tr>
            <w:trPr>
              <w:cantSplit w:val="0"/>
              <w:tblHeader w:val="0"/>
            </w:trPr>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6">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Zhou H, 2024</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7">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USA</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8">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Yale University Medical</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9">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Comparative metagenomic analysis </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A">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B">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0.0" w:type="dxa"/>
                  <w:bottom w:w="40.0" w:type="dxa"/>
                  <w:right w:w="0.0" w:type="dxa"/>
                </w:tcMar>
                <w:vAlign w:val="bottom"/>
              </w:tcPr>
              <w:p w:rsidR="00000000" w:rsidDel="00000000" w:rsidP="00000000" w:rsidRDefault="00000000" w:rsidRPr="00000000" w14:paraId="0000023C">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oral, blood, skin samples</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3E">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shd w:fill="auto" w:val="clear"/>
                <w:tcMar>
                  <w:top w:w="100.0" w:type="dxa"/>
                  <w:left w:w="100.0" w:type="dxa"/>
                  <w:bottom w:w="100.0" w:type="dxa"/>
                  <w:right w:w="100.0" w:type="dxa"/>
                </w:tcMar>
                <w:vAlign w:val="bottom"/>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GD, IBD, MG, MS, SLE(32)</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40">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left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241">
                <w:pPr>
                  <w:widowControl w:val="1"/>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Metagenomic sequencing </w:t>
                </w:r>
              </w:p>
            </w:tc>
          </w:tr>
        </w:tbl>
      </w:sdtContent>
    </w:sdt>
    <w:p w:rsidR="00000000" w:rsidDel="00000000" w:rsidP="00000000" w:rsidRDefault="00000000" w:rsidRPr="00000000" w14:paraId="00000242">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3">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Ankylosing spondylitis; TNF; BASDAI: Bath Ankylosing Spondylitis Disease Activity Index, BASFI, ASDAS: the Ankylosing Spondylitis Disease Activity Score, IBD: Inflammatory bowel disease; CD: Crohn’s disease; CD-axSpA: Crohn’s disease and axial spondyloarthritis overlap; SpA: spondyloarthritis; RA: rheumatoid arthritis; Crohn’s-axSpA; axAS: axial ankylosing spondylitis; pAS: peripheral ankylosing spondylitis; axSpA: axial spondyloarthritis; nr-axSpA: non-radiographic axial spondyloarthritis axPsA: axial psoriatic arthritis; PsA: psoriatic arthritis; AAU: acute anterior uveitis; UC: ulcerative colitis; GD: Graves’ disease; MG: myasthenia gravis; MS: multiple sclerosis; SLE: systemic lupus erythematosus; ND: not done; NR: not reported</w:t>
      </w:r>
    </w:p>
    <w:p w:rsidR="00000000" w:rsidDel="00000000" w:rsidP="00000000" w:rsidRDefault="00000000" w:rsidRPr="00000000" w14:paraId="00000244">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5">
      <w:pPr>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3.2  Outcomes of comparison of control and AS patients</w:t>
      </w:r>
    </w:p>
    <w:p w:rsidR="00000000" w:rsidDel="00000000" w:rsidP="00000000" w:rsidRDefault="00000000" w:rsidRPr="00000000" w14:paraId="00000246">
      <w:pPr>
        <w:spacing w:after="0" w:line="276" w:lineRule="auto"/>
        <w:ind w:firstLine="720"/>
        <w:jc w:val="both"/>
        <w:rPr>
          <w:rFonts w:ascii="Times New Roman" w:cs="Times New Roman" w:eastAsia="Times New Roman" w:hAnsi="Times New Roman"/>
          <w:i w:val="1"/>
          <w:sz w:val="24"/>
          <w:szCs w:val="24"/>
        </w:rPr>
        <w:sectPr>
          <w:type w:val="nextPage"/>
          <w:pgSz w:h="12240" w:w="15840" w:orient="landscape"/>
          <w:pgMar w:bottom="1137.6000000000001" w:top="1137.6000000000001" w:left="1699.1999999999998" w:right="849.5999999999999" w:header="720" w:footer="720"/>
        </w:sectPr>
      </w:pPr>
      <w:r w:rsidDel="00000000" w:rsidR="00000000" w:rsidRPr="00000000">
        <w:rPr>
          <w:rFonts w:ascii="Times New Roman" w:cs="Times New Roman" w:eastAsia="Times New Roman" w:hAnsi="Times New Roman"/>
          <w:sz w:val="24"/>
          <w:szCs w:val="24"/>
          <w:rtl w:val="0"/>
        </w:rPr>
        <w:t xml:space="preserve">This systematic review in</w:t>
      </w:r>
      <w:r w:rsidDel="00000000" w:rsidR="00000000" w:rsidRPr="00000000">
        <w:rPr>
          <w:rFonts w:ascii="Times New Roman" w:cs="Times New Roman" w:eastAsia="Times New Roman" w:hAnsi="Times New Roman"/>
          <w:sz w:val="24"/>
          <w:szCs w:val="24"/>
          <w:highlight w:val="white"/>
          <w:rtl w:val="0"/>
        </w:rPr>
        <w:t xml:space="preserve">cludes 38 research articles encompassing 2,425  participants where 1247(51.42%) are male participants. Age of participants ranges from 18 to 72.2. BMI of participants ranges from 14.65 to 33.42 for AS patients and 19.6 to 33.4 for healthy patients. The majority of studies used fecal samples for analysis, while only few studies analyzed saliva or blood samples. The presence of HLA-B27 was more fre</w:t>
      </w:r>
      <w:r w:rsidDel="00000000" w:rsidR="00000000" w:rsidRPr="00000000">
        <w:rPr>
          <w:rFonts w:ascii="Times New Roman" w:cs="Times New Roman" w:eastAsia="Times New Roman" w:hAnsi="Times New Roman"/>
          <w:sz w:val="24"/>
          <w:szCs w:val="24"/>
          <w:rtl w:val="0"/>
        </w:rPr>
        <w:t xml:space="preserve">quently observed in AS patients, with rates ranging fr</w:t>
      </w:r>
      <w:r w:rsidDel="00000000" w:rsidR="00000000" w:rsidRPr="00000000">
        <w:rPr>
          <w:rFonts w:ascii="Times New Roman" w:cs="Times New Roman" w:eastAsia="Times New Roman" w:hAnsi="Times New Roman"/>
          <w:sz w:val="24"/>
          <w:szCs w:val="24"/>
          <w:highlight w:val="white"/>
          <w:rtl w:val="0"/>
        </w:rPr>
        <w:t xml:space="preserve">om 10%to 100%. For sequencing purposes, both 16S rRNA and shotgun sequencing methods were utilized. The duration of the disease condition varied across studies, with some focusing on newly diagnosed patients (2 months) while others considered patients with a longer history of the disease (up to 42 years). The range for C-Reactive Protein (CRP) levels spanned from 0.1 to 67 mg/L, indicating the variation in inflammation levels among subjects. Similarly, Erythrocyte Sedimentation Rate (ESR) demonstrated a wide range, from 4 to 94.53%.</w:t>
      </w:r>
      <w:r w:rsidDel="00000000" w:rsidR="00000000" w:rsidRPr="00000000">
        <w:rPr>
          <w:rtl w:val="0"/>
        </w:rPr>
      </w:r>
    </w:p>
    <w:p w:rsidR="00000000" w:rsidDel="00000000" w:rsidP="00000000" w:rsidRDefault="00000000" w:rsidRPr="00000000" w14:paraId="00000247">
      <w:pPr>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sz w:val="24"/>
          <w:szCs w:val="24"/>
          <w:rtl w:val="0"/>
        </w:rPr>
        <w:t xml:space="preserve">Table 2. Outcomes of comparison of control and AS patients.</w:t>
      </w:r>
    </w:p>
    <w:tbl>
      <w:tblPr>
        <w:tblStyle w:val="Table2"/>
        <w:tblW w:w="9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0"/>
        <w:gridCol w:w="450"/>
        <w:gridCol w:w="1470"/>
        <w:gridCol w:w="570"/>
        <w:gridCol w:w="825"/>
        <w:gridCol w:w="495"/>
        <w:gridCol w:w="495"/>
        <w:gridCol w:w="435"/>
        <w:gridCol w:w="1275"/>
        <w:gridCol w:w="1200"/>
        <w:gridCol w:w="750"/>
        <w:gridCol w:w="720"/>
        <w:tblGridChange w:id="0">
          <w:tblGrid>
            <w:gridCol w:w="1020"/>
            <w:gridCol w:w="450"/>
            <w:gridCol w:w="1470"/>
            <w:gridCol w:w="570"/>
            <w:gridCol w:w="825"/>
            <w:gridCol w:w="495"/>
            <w:gridCol w:w="495"/>
            <w:gridCol w:w="435"/>
            <w:gridCol w:w="1275"/>
            <w:gridCol w:w="1200"/>
            <w:gridCol w:w="750"/>
            <w:gridCol w:w="720"/>
          </w:tblGrid>
        </w:tblGridChange>
      </w:tblGrid>
      <w:tr>
        <w:trPr>
          <w:cantSplit w:val="0"/>
          <w:trHeight w:val="315" w:hRule="atLeast"/>
          <w:tblHeader w:val="0"/>
        </w:trPr>
        <w:tc>
          <w:tcPr>
            <w:vMerge w:val="restart"/>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48">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Study ID</w:t>
            </w:r>
          </w:p>
        </w:tc>
        <w:tc>
          <w:tcPr>
            <w:gridSpan w:val="6"/>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4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 group</w:t>
            </w:r>
          </w:p>
        </w:tc>
        <w:tc>
          <w:tcPr>
            <w:gridSpan w:val="5"/>
            <w:tcBorders>
              <w:top w:color="000000"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F">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Control group</w:t>
            </w:r>
          </w:p>
        </w:tc>
      </w:tr>
      <w:tr>
        <w:trPr>
          <w:cantSplit w:val="0"/>
          <w:trHeight w:val="795" w:hRule="atLeast"/>
          <w:tblHeader w:val="0"/>
        </w:trPr>
        <w:tc>
          <w:tcPr>
            <w:vMerge w:val="continue"/>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254">
            <w:pPr>
              <w:widowControl w:val="0"/>
              <w:spacing w:after="0" w:line="276" w:lineRule="auto"/>
              <w:rPr>
                <w:rFonts w:ascii="Arial" w:cs="Arial" w:eastAsia="Arial" w:hAnsi="Arial"/>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5">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6">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Male/female (age)</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7">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BMI(SD)</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8">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Disease duration (years)</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CRP (mg/L)</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A">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ESR (mm/h)</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B">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C">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Male/Female (age)</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D">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BMI</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E">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CRP (mg/L)</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F">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ESR (mm/h)</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0">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Asquith M, 2019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37/46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4">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C">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Berland M, 2023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D">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50/52(50±11.3)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6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0">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25.1±11.9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3">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63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25/38(48.7±11.7)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55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8">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Berlinberg AJ, 2021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A">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12/9(44.92±</w:t>
            </w:r>
          </w:p>
          <w:p w:rsidR="00000000" w:rsidDel="00000000" w:rsidP="00000000" w:rsidRDefault="00000000" w:rsidRPr="00000000" w14:paraId="0000027B">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12.1/)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D">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12/9(9.9±9.8)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0">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24</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1">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12/12(45.16±11.8)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5">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Breban M, 2017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6">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7">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18/20(53±9.8)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25.2±3.9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29.3±11.2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C">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51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D">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17/34(54±8.6)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25.6±4.9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55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1">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Cardoneanu A, Cozma S, 2021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2">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3">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17/11(52.1±13.6)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28.08±5.2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5">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0.9±1.3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23.4±12.7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8">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12/20( 61.5±10)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26.9±3.7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0.8±0.9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16.4±10.5</w:t>
            </w:r>
          </w:p>
        </w:tc>
      </w:tr>
      <w:tr>
        <w:trPr>
          <w:cantSplit w:val="0"/>
          <w:trHeight w:val="55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D">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Chen Z, 2019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E">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F">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16/13( 29.90±10.03)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1">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2.5</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4">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5">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( 30.89±10.61)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55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Costello ME, 2015</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A">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B">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7/2 (33(22-56))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D">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6(3-11)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 to 18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18 to 45</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0">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1">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3/6(45(34-65))</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5">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Essex M, 2023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6">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65/37(36.9±10.6)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25.1±4.2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14.0±18.7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C">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62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26/36(38.4±10.4)</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25.9±5.0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1.2±1.8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1">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Gill T, 2022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2">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7/10(58(49-69))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27(23-32)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8">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14</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8/6(55(37-62))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26(21-30)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D">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Guggino G, 2021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E">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34/6(47(18-56))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20(12-40)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3.6(0.5-9)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4">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17/3(47(24-60))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Huang R, 2020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A">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113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 (18-60)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0">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5">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Klinberg E, 2019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6">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150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7">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83/67(55.5(46-67))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28.5(18-39)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3(1-6)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8(4-14)</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C">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11/6(22(21-31))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1(1-1)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1">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Li M, 2019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2">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3">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22/0(34.86;</w:t>
            </w:r>
          </w:p>
          <w:p w:rsidR="00000000" w:rsidDel="00000000" w:rsidP="00000000" w:rsidRDefault="00000000" w:rsidRPr="00000000" w14:paraId="000002F4">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(15-58))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6">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9.6;(0.17-40)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14.52(0.1-67)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27.53(2-67)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E">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Liu B, 2022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F">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5">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A">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Liu G, 2020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B">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C">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6/4(49.20±5.98)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E">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5.2±1.75</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0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22.5±4.88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29.6±1.54</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1">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2">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45.67±5.38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1.56+0.82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7±2</w:t>
            </w:r>
          </w:p>
        </w:tc>
      </w:tr>
      <w:tr>
        <w:trPr>
          <w:cantSplit w:val="0"/>
          <w:trHeight w:val="55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6">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Miguens Blanco J, 2020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1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2">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Min HK, 2023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3">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4">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30/3(42.3±12.4)</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23.8±3.4</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6">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8.83±7.38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0.3±0.6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8.1±11.3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4/16(33.0±5.7)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E">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Sagard J, 2022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F">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0">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55/33 (55±13)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27+4.3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28±14</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4.3±6.1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5">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50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15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A">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Sternes PR, 2022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B">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Australia:28; Italy:16;Sweden:136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C">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Australia: 24/4(48.5 ± 15.3) Italy: 11/5 %(39.6±10.1) Sweden:95/41</w:t>
            </w:r>
          </w:p>
          <w:p w:rsidR="00000000" w:rsidDel="00000000" w:rsidP="00000000" w:rsidRDefault="00000000" w:rsidRPr="00000000" w14:paraId="0000033D">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(55.8±11.8)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26.9±55/27.6±4.8/27.72±5.7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2">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105</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57/48(62.2±10.3)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27.3±6.1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7">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Stoll ML, 2022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8">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23/8(45.7±7.1)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25.5±4.0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E">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55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3">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Tito RY, 2016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4">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5">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14/13 (34.96(10-56))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7">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8.46;(0.2 - 31.1)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0.84(0-2.6)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A">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15</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F">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Wen C, 2017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0">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1">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40/48(36.2 ± 9.7)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21.5±6.85</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3">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3(0.5-12)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12.66±19.64</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21.17±19.17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6">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7">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42.0±8.5</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B">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You Y, Cai M  2022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7/2 (35.11±11.86)</w:t>
            </w:r>
          </w:p>
          <w:p w:rsidR="00000000" w:rsidDel="00000000" w:rsidP="00000000" w:rsidRDefault="00000000" w:rsidRPr="00000000" w14:paraId="0000036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18/3(32.43±9.57)</w:t>
            </w:r>
          </w:p>
          <w:p w:rsidR="00000000" w:rsidDel="00000000" w:rsidP="00000000" w:rsidRDefault="00000000" w:rsidRPr="00000000" w14:paraId="0000036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9/1 (35.20±12.28)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6.22±6.74/6.57±5.78/12.40±9.37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3.29±2.21/24.54±16.30/76.76±16.38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14.56±14.44/27.67±24.37/54.30±19.17</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55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You Y, Zhang W 2022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A">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B">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35/5(33.7±10.6)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D">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7.95±7.31</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32.81±30.5</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31.38±25.2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0">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37/3(33.7±11.0)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55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5">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Zhang L, 2019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6">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7">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85/84(33.29±11.66)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22.85±3.60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6.2(3.6-10.0)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9.2(3.8-24.0)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19.0(10.5-37.0)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C">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104</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D">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84/20(33.66±12.53)</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22.98±3.38</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1">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Zhou C, 2020</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2">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85</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3">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67/44(30.7±9.9)</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5">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4.9±5.6</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8">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62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(33.9±9.5)</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D">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Zhou H, 2024</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A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A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A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A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A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22</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A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A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A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A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bl>
    <w:p w:rsidR="00000000" w:rsidDel="00000000" w:rsidP="00000000" w:rsidRDefault="00000000" w:rsidRPr="00000000" w14:paraId="000003A9">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Ankylosing spondylitis; SD: Standard deviation; BMI: body mass index; CRP: C-reactive protein; ESR: Erythrocyte sedimentation rate; NR: not reported.</w:t>
      </w:r>
    </w:p>
    <w:p w:rsidR="00000000" w:rsidDel="00000000" w:rsidP="00000000" w:rsidRDefault="00000000" w:rsidRPr="00000000" w14:paraId="000003AA">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B">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C">
      <w:pPr>
        <w:spacing w:after="160" w:line="259.20000000000005"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3.3 Gut microbiota composition in AS versus healthy controls </w:t>
      </w:r>
    </w:p>
    <w:p w:rsidR="00000000" w:rsidDel="00000000" w:rsidP="00000000" w:rsidRDefault="00000000" w:rsidRPr="00000000" w14:paraId="000003AD">
      <w:pPr>
        <w:spacing w:after="160" w:line="259.20000000000005"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microbial composition of AS patients was found to be different from that of healthy controls in all of the reviewed studies. A decrease in overall microbial richness may have occurred in AS cohorts, as evidenced by the reduced alpha diversity found in about two-thirds of studies. </w:t>
      </w:r>
    </w:p>
    <w:p w:rsidR="00000000" w:rsidDel="00000000" w:rsidP="00000000" w:rsidRDefault="00000000" w:rsidRPr="00000000" w14:paraId="000003AE">
      <w:pPr>
        <w:spacing w:after="160" w:line="259.20000000000005"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contrast, the majority of studies found a significant difference in beta diversity between the AS and control groups, which reflects differences in community structure. </w:t>
      </w:r>
    </w:p>
    <w:p w:rsidR="00000000" w:rsidDel="00000000" w:rsidP="00000000" w:rsidRDefault="00000000" w:rsidRPr="00000000" w14:paraId="000003AF">
      <w:pPr>
        <w:spacing w:after="160" w:line="259.20000000000005"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proinflammatory taxa were consistently enriched in AS patients at the taxonomic level. Among them were Ruminococcus gnavus, Collinsella, Dialister, and Prevotella. Specifically, in multiple cohorts, R.gnavus was highly correlated with increased disease activity and HLA-B27 positivity. There have been reports of an increase in smaller subsets of other genera, including Veillonella, Actinomyces and Clostridium (Table 3). </w:t>
      </w:r>
    </w:p>
    <w:p w:rsidR="00000000" w:rsidDel="00000000" w:rsidP="00000000" w:rsidRDefault="00000000" w:rsidRPr="00000000" w14:paraId="000003B0">
      <w:pPr>
        <w:spacing w:after="160" w:line="259.20000000000005"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other hand, AS patients often had reduced levels of SCFA producing taxa, including Faecalibacterium prausnitzii, Roseburia, Blautia, and Lachnospiraceae. These bacteria are frequently linked to the integrity of the mucosal barrier and anti-inflammatory properties. The idea that AS entails a change toward a pro-inflammatory microbiome is supported by the reduction of these commensals. </w:t>
      </w:r>
      <w:r w:rsidDel="00000000" w:rsidR="00000000" w:rsidRPr="00000000">
        <w:rPr>
          <w:rtl w:val="0"/>
        </w:rPr>
      </w:r>
    </w:p>
    <w:p w:rsidR="00000000" w:rsidDel="00000000" w:rsidP="00000000" w:rsidRDefault="00000000" w:rsidRPr="00000000" w14:paraId="000003B1">
      <w:pPr>
        <w:spacing w:after="0" w:line="276" w:lineRule="auto"/>
        <w:ind w:firstLine="720"/>
        <w:jc w:val="both"/>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Table 3. Studies investigating gut microbiome changes in response to treatment.</w:t>
      </w:r>
    </w:p>
    <w:tbl>
      <w:tblPr>
        <w:tblStyle w:val="Table3"/>
        <w:tblW w:w="9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50"/>
        <w:gridCol w:w="690"/>
        <w:gridCol w:w="1020"/>
        <w:gridCol w:w="855"/>
        <w:gridCol w:w="885"/>
        <w:gridCol w:w="3375"/>
        <w:gridCol w:w="1935"/>
        <w:tblGridChange w:id="0">
          <w:tblGrid>
            <w:gridCol w:w="1050"/>
            <w:gridCol w:w="690"/>
            <w:gridCol w:w="1020"/>
            <w:gridCol w:w="855"/>
            <w:gridCol w:w="885"/>
            <w:gridCol w:w="3375"/>
            <w:gridCol w:w="1935"/>
          </w:tblGrid>
        </w:tblGridChange>
      </w:tblGrid>
      <w:tr>
        <w:trPr>
          <w:cantSplit w:val="0"/>
          <w:trHeight w:val="55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3B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Study ID</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3B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Total N</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3B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Sample type</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3B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Treatment</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3B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Sequencing</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3B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Key findings</w:t>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3B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Alpha and Beta diversity</w:t>
            </w:r>
          </w:p>
        </w:tc>
      </w:tr>
      <w:tr>
        <w:trPr>
          <w:cantSplit w:val="0"/>
          <w:trHeight w:val="55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B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Chmielinska M, 2024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BA">
            <w:pPr>
              <w:widowControl w:val="0"/>
              <w:spacing w:after="0" w:line="276" w:lineRule="auto"/>
              <w:jc w:val="right"/>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48</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BB">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Blood samples</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BC">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biological therapy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B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ND</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B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Pre-treatment: AS patients had increased intestinal permeability: ↑zonulin and dysbiosis linked to treatment failure. Post treatment: microbial restorations, ↓zonulin and ↑haptoglobin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B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NR</w:t>
            </w:r>
          </w:p>
        </w:tc>
      </w:tr>
      <w:tr>
        <w:trPr>
          <w:cantSplit w:val="0"/>
          <w:trHeight w:val="514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C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Dai Q, 2022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C1">
            <w:pPr>
              <w:widowControl w:val="0"/>
              <w:spacing w:after="0" w:line="276" w:lineRule="auto"/>
              <w:jc w:val="right"/>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C2">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C3">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anti-TNF</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C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w:t>
            </w:r>
          </w:p>
          <w:p w:rsidR="00000000" w:rsidDel="00000000" w:rsidP="00000000" w:rsidRDefault="00000000" w:rsidRPr="00000000" w14:paraId="000003C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sequencing</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C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Pre-treatment: Significantly different microbial composition to HC with abundance SCFA producing bacteria with higher disease activity. Post treatment 1 month with TNFi: ↑Bacilli</w:t>
            </w:r>
          </w:p>
          <w:p w:rsidR="00000000" w:rsidDel="00000000" w:rsidP="00000000" w:rsidRDefault="00000000" w:rsidRPr="00000000" w14:paraId="000003C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phylum and Haemophilus genus. Restoration of the microbiome closer to HC,with ↑abundance of SCFA producing bacteria including Megamonas.</w:t>
            </w:r>
          </w:p>
          <w:p w:rsidR="00000000" w:rsidDel="00000000" w:rsidP="00000000" w:rsidRDefault="00000000" w:rsidRPr="00000000" w14:paraId="000003C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↑Bacteroidetes and Proteobacteria at the phylum level, ↓Erysipelotrichaceae, Lachnospiraceae and Ruminococcaceae at the family level Functional analysis: 8 differential pathways were altered in the pre-treatment group versus HC, compared with 4 in the pre-treatment group and the post-treatment group and 0 in the post treatment group versus HC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C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No difference in species</w:t>
            </w:r>
          </w:p>
          <w:p w:rsidR="00000000" w:rsidDel="00000000" w:rsidP="00000000" w:rsidRDefault="00000000" w:rsidRPr="00000000" w14:paraId="000003C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richness between groups</w:t>
            </w:r>
          </w:p>
          <w:p w:rsidR="00000000" w:rsidDel="00000000" w:rsidP="00000000" w:rsidRDefault="00000000" w:rsidRPr="00000000" w14:paraId="000003C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by alpha diversity, but</w:t>
            </w:r>
          </w:p>
          <w:p w:rsidR="00000000" w:rsidDel="00000000" w:rsidP="00000000" w:rsidRDefault="00000000" w:rsidRPr="00000000" w14:paraId="000003C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beta diversity showed</w:t>
            </w:r>
          </w:p>
          <w:p w:rsidR="00000000" w:rsidDel="00000000" w:rsidP="00000000" w:rsidRDefault="00000000" w:rsidRPr="00000000" w14:paraId="000003C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clustering differences</w:t>
            </w:r>
          </w:p>
          <w:p w:rsidR="00000000" w:rsidDel="00000000" w:rsidP="00000000" w:rsidRDefault="00000000" w:rsidRPr="00000000" w14:paraId="000003C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between HC and AS</w:t>
            </w:r>
          </w:p>
          <w:p w:rsidR="00000000" w:rsidDel="00000000" w:rsidP="00000000" w:rsidRDefault="00000000" w:rsidRPr="00000000" w14:paraId="000003C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groups</w:t>
            </w:r>
          </w:p>
        </w:tc>
      </w:tr>
      <w:tr>
        <w:trPr>
          <w:cantSplit w:val="0"/>
          <w:trHeight w:val="56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D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Lai Y et all. 2024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D1">
            <w:pPr>
              <w:widowControl w:val="0"/>
              <w:spacing w:after="0" w:line="276" w:lineRule="auto"/>
              <w:jc w:val="right"/>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29</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D2">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D3">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anti-TNF</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D4">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Metagenomic sequencing, metabolomics</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D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Pre-treatmentASgroup:170differential bacterial species when compared with healthy controls (adjusted p &lt; 0.05). 137 enriched species from phylum Firmicutes (genera Clostridium,</w:t>
            </w:r>
          </w:p>
          <w:p w:rsidR="00000000" w:rsidDel="00000000" w:rsidP="00000000" w:rsidRDefault="00000000" w:rsidRPr="00000000" w14:paraId="000003D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Ruminococcus, Faecalibacterium, Anaerostipes, Anaerotruncus, Blautia); with depletion of 33 species from phylum Bacteroidetes (genera</w:t>
            </w:r>
          </w:p>
          <w:p w:rsidR="00000000" w:rsidDel="00000000" w:rsidP="00000000" w:rsidRDefault="00000000" w:rsidRPr="00000000" w14:paraId="000003D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Bacteroides, Parabacteroides, Phocaeicola, Alistipes). At the species level ↑Ruminococcus gnavus (associated with 34 metabolites), ↓Bacteroidetes</w:t>
            </w:r>
          </w:p>
          <w:p w:rsidR="00000000" w:rsidDel="00000000" w:rsidP="00000000" w:rsidRDefault="00000000" w:rsidRPr="00000000" w14:paraId="000003D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uniformis (associated with 41 etabolites)</w:t>
            </w:r>
          </w:p>
          <w:p w:rsidR="00000000" w:rsidDel="00000000" w:rsidP="00000000" w:rsidRDefault="00000000" w:rsidRPr="00000000" w14:paraId="000003D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Post-treatment AS group: normalisation of Ruminococcus gnavus closer to healthy controls 2 differential bacterial species compared with controls 6 differential bacterial species compared with pretreatment group</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D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Beta diversity analysis</w:t>
            </w:r>
          </w:p>
          <w:p w:rsidR="00000000" w:rsidDel="00000000" w:rsidP="00000000" w:rsidRDefault="00000000" w:rsidRPr="00000000" w14:paraId="000003D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shows significant</w:t>
            </w:r>
          </w:p>
          <w:p w:rsidR="00000000" w:rsidDel="00000000" w:rsidP="00000000" w:rsidRDefault="00000000" w:rsidRPr="00000000" w14:paraId="000003D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differences between</w:t>
            </w:r>
          </w:p>
          <w:p w:rsidR="00000000" w:rsidDel="00000000" w:rsidP="00000000" w:rsidRDefault="00000000" w:rsidRPr="00000000" w14:paraId="000003D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controls, pre- and post</w:t>
            </w:r>
          </w:p>
          <w:p w:rsidR="00000000" w:rsidDel="00000000" w:rsidP="00000000" w:rsidRDefault="00000000" w:rsidRPr="00000000" w14:paraId="000003D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treatment groups, with</w:t>
            </w:r>
          </w:p>
          <w:p w:rsidR="00000000" w:rsidDel="00000000" w:rsidP="00000000" w:rsidRDefault="00000000" w:rsidRPr="00000000" w14:paraId="000003D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post-treatment group</w:t>
            </w:r>
          </w:p>
          <w:p w:rsidR="00000000" w:rsidDel="00000000" w:rsidP="00000000" w:rsidRDefault="00000000" w:rsidRPr="00000000" w14:paraId="000003E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closer to controls</w:t>
            </w:r>
          </w:p>
        </w:tc>
      </w:tr>
      <w:tr>
        <w:trPr>
          <w:cantSplit w:val="0"/>
          <w:trHeight w:val="375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E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Manasson J, 2020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E2">
            <w:pPr>
              <w:widowControl w:val="0"/>
              <w:spacing w:after="0" w:line="276" w:lineRule="auto"/>
              <w:jc w:val="right"/>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29</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E3">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 ileal samples</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E4">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IL17 inhibition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E5">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 Metagenomic sequencing</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E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Post treatment with TNFi: ↑Clostridiales and ↓Bacteroidales compared with baseline; Functional pathways changed with therapy relate to nucleotide metabolism Post treatment with IL-17i: ↓Clostridiales and ↑Bacteroidales; Functional pathways related to cell</w:t>
            </w:r>
          </w:p>
          <w:p w:rsidR="00000000" w:rsidDel="00000000" w:rsidP="00000000" w:rsidRDefault="00000000" w:rsidRPr="00000000" w14:paraId="000003E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wall, vitamin, carbohydrate and amino acid metabolism, particularly tryptophan</w:t>
            </w:r>
          </w:p>
          <w:p w:rsidR="00000000" w:rsidDel="00000000" w:rsidP="00000000" w:rsidRDefault="00000000" w:rsidRPr="00000000" w14:paraId="000003E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There were prominent shifts in Clostridiales relative abundance with IL-17i therapy, which were not pronounced with TNFi therapy</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E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No difference in alpha</w:t>
            </w:r>
          </w:p>
          <w:p w:rsidR="00000000" w:rsidDel="00000000" w:rsidP="00000000" w:rsidRDefault="00000000" w:rsidRPr="00000000" w14:paraId="000003E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and beta diversity</w:t>
            </w:r>
          </w:p>
          <w:p w:rsidR="00000000" w:rsidDel="00000000" w:rsidP="00000000" w:rsidRDefault="00000000" w:rsidRPr="00000000" w14:paraId="000003E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between groups</w:t>
            </w:r>
          </w:p>
        </w:tc>
      </w:tr>
      <w:tr>
        <w:trPr>
          <w:cantSplit w:val="0"/>
          <w:trHeight w:val="378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E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Sun C, 2024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ED">
            <w:pPr>
              <w:widowControl w:val="0"/>
              <w:spacing w:after="0" w:line="276" w:lineRule="auto"/>
              <w:jc w:val="right"/>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EE">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Plasma</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EF">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Secukinumab</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F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 Metabolomics</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F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Restoration of certain taxa closer to controls including Megamonas, Prevotella_9, Faecalibacterium, Roseburia and Agathobacter</w:t>
            </w:r>
          </w:p>
          <w:p w:rsidR="00000000" w:rsidDel="00000000" w:rsidP="00000000" w:rsidRDefault="00000000" w:rsidRPr="00000000" w14:paraId="000003F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Post-treatment AS: ↓Prevotella_9, Faecalibacterium, ↑Bacteroidetes at genus level, ↑Bifidobacterium and</w:t>
            </w:r>
          </w:p>
          <w:p w:rsidR="00000000" w:rsidDel="00000000" w:rsidP="00000000" w:rsidRDefault="00000000" w:rsidRPr="00000000" w14:paraId="000003F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Escherichia_Shigella, ↓Lachnospira</w:t>
            </w:r>
          </w:p>
          <w:p w:rsidR="00000000" w:rsidDel="00000000" w:rsidP="00000000" w:rsidRDefault="00000000" w:rsidRPr="00000000" w14:paraId="000003F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Predictive bacteria as biomarker for AS</w:t>
            </w:r>
          </w:p>
          <w:p w:rsidR="00000000" w:rsidDel="00000000" w:rsidP="00000000" w:rsidRDefault="00000000" w:rsidRPr="00000000" w14:paraId="000003F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By overlapping taxa: Prevotellaceae_bacterium_Marseille_P2831, Prevotella_buccae, Elusimicrobiota</w:t>
            </w:r>
          </w:p>
          <w:p w:rsidR="00000000" w:rsidDel="00000000" w:rsidP="00000000" w:rsidRDefault="00000000" w:rsidRPr="00000000" w14:paraId="000003F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By genera Forest plot: Blautia, Eubacterium, unclassified Oscillospiraceae, Turicibacter, unclassified Xenococcaceae Differential metabolic pathways Bile secretion, steroid and unsaturated fatty acids</w:t>
            </w:r>
          </w:p>
          <w:p w:rsidR="00000000" w:rsidDel="00000000" w:rsidP="00000000" w:rsidRDefault="00000000" w:rsidRPr="00000000" w14:paraId="000003F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biosynthesis Positive correlation with BASDAI ↑Turicibacter</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F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Lower alpha diversity in</w:t>
            </w:r>
          </w:p>
          <w:p w:rsidR="00000000" w:rsidDel="00000000" w:rsidP="00000000" w:rsidRDefault="00000000" w:rsidRPr="00000000" w14:paraId="000003F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 group compared with</w:t>
            </w:r>
          </w:p>
          <w:p w:rsidR="00000000" w:rsidDel="00000000" w:rsidP="00000000" w:rsidRDefault="00000000" w:rsidRPr="00000000" w14:paraId="000003F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controls (p = 0.0047).</w:t>
            </w:r>
          </w:p>
          <w:p w:rsidR="00000000" w:rsidDel="00000000" w:rsidP="00000000" w:rsidRDefault="00000000" w:rsidRPr="00000000" w14:paraId="000003F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Significantly higher</w:t>
            </w:r>
          </w:p>
          <w:p w:rsidR="00000000" w:rsidDel="00000000" w:rsidP="00000000" w:rsidRDefault="00000000" w:rsidRPr="00000000" w14:paraId="000003F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alpha diversity in post</w:t>
            </w:r>
          </w:p>
          <w:p w:rsidR="00000000" w:rsidDel="00000000" w:rsidP="00000000" w:rsidRDefault="00000000" w:rsidRPr="00000000" w14:paraId="000003F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treatment group</w:t>
            </w:r>
          </w:p>
        </w:tc>
      </w:tr>
      <w:tr>
        <w:trPr>
          <w:cantSplit w:val="0"/>
          <w:trHeight w:val="7523.041992187499"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F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Vallier M, 2023</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3FF">
            <w:pPr>
              <w:widowControl w:val="0"/>
              <w:spacing w:after="0" w:line="276" w:lineRule="auto"/>
              <w:jc w:val="right"/>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61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00">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01">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anti-TNF</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02">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w:t>
            </w:r>
          </w:p>
          <w:p w:rsidR="00000000" w:rsidDel="00000000" w:rsidP="00000000" w:rsidRDefault="00000000" w:rsidRPr="00000000" w14:paraId="00000403">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sequencing</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0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 ↑ 1 OTU in genus Bifidobacterium and 2 in family Oscillospiraceae, ↓1 OTU in family Lachnospiraceae with increased disease duration.</w:t>
            </w:r>
          </w:p>
          <w:p w:rsidR="00000000" w:rsidDel="00000000" w:rsidP="00000000" w:rsidRDefault="00000000" w:rsidRPr="00000000" w14:paraId="0000040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Lachnospiraceae are negatively associated with uveitis and radiographic sacroiliitis. ↑OTU in genus Alistipes and one in Oscillospira Ceae family negatively correlated with sacroiliitis. HLA-B27 positive status negatively associated with OTU belonging in Christensenellaceae family, low</w:t>
            </w:r>
          </w:p>
          <w:p w:rsidR="00000000" w:rsidDel="00000000" w:rsidP="00000000" w:rsidRDefault="00000000" w:rsidRPr="00000000" w14:paraId="0000040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abundance with several OTU in the same family was associated with smokers</w:t>
            </w:r>
          </w:p>
          <w:p w:rsidR="00000000" w:rsidDel="00000000" w:rsidP="00000000" w:rsidRDefault="00000000" w:rsidRPr="00000000" w14:paraId="0000040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Higher disease activity at baseline and after 3 months correlated with ↑Oscillospiraceae and</w:t>
            </w:r>
          </w:p>
          <w:p w:rsidR="00000000" w:rsidDel="00000000" w:rsidP="00000000" w:rsidRDefault="00000000" w:rsidRPr="00000000" w14:paraId="0000040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Lachnospiraceae families in the Clostridia class 7 OTUs at baseline predicted treatment outcome</w:t>
            </w:r>
          </w:p>
          <w:p w:rsidR="00000000" w:rsidDel="00000000" w:rsidP="00000000" w:rsidRDefault="00000000" w:rsidRPr="00000000" w14:paraId="0000040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TNFi with (superior to HLA-B27 status, CRP level, measures of disease activity (with 4 of these belonging in the Lachnospiraceae family). ↑Otu0112 belonging to the genus Sutterella</w:t>
            </w:r>
          </w:p>
          <w:p w:rsidR="00000000" w:rsidDel="00000000" w:rsidP="00000000" w:rsidRDefault="00000000" w:rsidRPr="00000000" w14:paraId="0000040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associated with non-responders (detected in 27 % non-responders at baseline and post treatment) and</w:t>
            </w:r>
          </w:p>
          <w:p w:rsidR="00000000" w:rsidDel="00000000" w:rsidP="00000000" w:rsidRDefault="00000000" w:rsidRPr="00000000" w14:paraId="0000040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not present in responders at both time points</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0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No significant</w:t>
            </w:r>
          </w:p>
          <w:p w:rsidR="00000000" w:rsidDel="00000000" w:rsidP="00000000" w:rsidRDefault="00000000" w:rsidRPr="00000000" w14:paraId="0000040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association between</w:t>
            </w:r>
          </w:p>
          <w:p w:rsidR="00000000" w:rsidDel="00000000" w:rsidP="00000000" w:rsidRDefault="00000000" w:rsidRPr="00000000" w14:paraId="0000040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alpha diversity and any</w:t>
            </w:r>
          </w:p>
          <w:p w:rsidR="00000000" w:rsidDel="00000000" w:rsidP="00000000" w:rsidRDefault="00000000" w:rsidRPr="00000000" w14:paraId="0000040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patient parameters.</w:t>
            </w:r>
          </w:p>
          <w:p w:rsidR="00000000" w:rsidDel="00000000" w:rsidP="00000000" w:rsidRDefault="00000000" w:rsidRPr="00000000" w14:paraId="0000041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Significant associations</w:t>
            </w:r>
          </w:p>
          <w:p w:rsidR="00000000" w:rsidDel="00000000" w:rsidP="00000000" w:rsidRDefault="00000000" w:rsidRPr="00000000" w14:paraId="0000041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between Bray-Curtis</w:t>
            </w:r>
          </w:p>
          <w:p w:rsidR="00000000" w:rsidDel="00000000" w:rsidP="00000000" w:rsidRDefault="00000000" w:rsidRPr="00000000" w14:paraId="0000041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beta diversity and HLA</w:t>
            </w:r>
          </w:p>
          <w:p w:rsidR="00000000" w:rsidDel="00000000" w:rsidP="00000000" w:rsidRDefault="00000000" w:rsidRPr="00000000" w14:paraId="0000041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B27 status, there was no</w:t>
            </w:r>
          </w:p>
          <w:p w:rsidR="00000000" w:rsidDel="00000000" w:rsidP="00000000" w:rsidRDefault="00000000" w:rsidRPr="00000000" w14:paraId="0000041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difference in diversity</w:t>
            </w:r>
          </w:p>
          <w:p w:rsidR="00000000" w:rsidDel="00000000" w:rsidP="00000000" w:rsidRDefault="00000000" w:rsidRPr="00000000" w14:paraId="0000041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between different TNFi</w:t>
            </w:r>
          </w:p>
          <w:p w:rsidR="00000000" w:rsidDel="00000000" w:rsidP="00000000" w:rsidRDefault="00000000" w:rsidRPr="00000000" w14:paraId="0000041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treatment</w:t>
            </w:r>
          </w:p>
        </w:tc>
      </w:tr>
      <w:tr>
        <w:trPr>
          <w:cantSplit w:val="0"/>
          <w:trHeight w:val="537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1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Yin J, 2020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18">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127</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1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1A">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anti-TNF</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1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Metagenomic shotgun sequencing</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1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 ↑Dialister in discovery cohort, in validation cohort ↑Clostridiales bacterium, Clostridium bolteae,</w:t>
            </w:r>
          </w:p>
          <w:p w:rsidR="00000000" w:rsidDel="00000000" w:rsidP="00000000" w:rsidRDefault="00000000" w:rsidRPr="00000000" w14:paraId="0000041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Clostridium hatheway, ↓Bifidobacterium adolescentis, Coprococcus comes, Lachnospiraceae bacterium, Roseburia inulinivorans, Prevotella copri,</w:t>
            </w:r>
          </w:p>
          <w:p w:rsidR="00000000" w:rsidDel="00000000" w:rsidP="00000000" w:rsidRDefault="00000000" w:rsidRPr="00000000" w14:paraId="0000041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Faecalibacterium prausnitzii Restoration of microbiome closer to healthy gut</w:t>
            </w:r>
          </w:p>
          <w:p w:rsidR="00000000" w:rsidDel="00000000" w:rsidP="00000000" w:rsidRDefault="00000000" w:rsidRPr="00000000" w14:paraId="0000041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flora with TNFi treatment, including the following species: P. copri, F. prausnitzii, Bilophila unclassified, Klebsiella pneumoniae, Ruminococcus bromii, Eubacterium biforme No significant effect with sulfasalazine Untreated cases showed significant difference in</w:t>
            </w:r>
          </w:p>
          <w:p w:rsidR="00000000" w:rsidDel="00000000" w:rsidP="00000000" w:rsidRDefault="00000000" w:rsidRPr="00000000" w14:paraId="0000042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overall composition to controls (p = 0.0002) Treated cases not significantly different to healthy controls (p = 0.069)</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2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Significant difference</w:t>
            </w:r>
          </w:p>
          <w:p w:rsidR="00000000" w:rsidDel="00000000" w:rsidP="00000000" w:rsidRDefault="00000000" w:rsidRPr="00000000" w14:paraId="0000042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between microbial composition of AS vs HC</w:t>
            </w:r>
          </w:p>
        </w:tc>
      </w:tr>
      <w:tr>
        <w:trPr>
          <w:cantSplit w:val="0"/>
          <w:trHeight w:val="265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2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Yu X, 2024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24">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30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25">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26">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Moxibustion</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27">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w:t>
            </w:r>
          </w:p>
          <w:p w:rsidR="00000000" w:rsidDel="00000000" w:rsidP="00000000" w:rsidRDefault="00000000" w:rsidRPr="00000000" w14:paraId="00000428">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sequencing</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29">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 Pre-treatment</w:t>
            </w:r>
            <w:r w:rsidDel="00000000" w:rsidR="00000000" w:rsidRPr="00000000">
              <w:rPr>
                <w:rFonts w:ascii="Palatino Linotype" w:cs="Palatino Linotype" w:eastAsia="Palatino Linotype" w:hAnsi="Palatino Linotype"/>
                <w:sz w:val="18"/>
                <w:szCs w:val="18"/>
                <w:highlight w:val="white"/>
                <w:rtl w:val="0"/>
              </w:rPr>
              <w:t xml:space="preserve"> HC: </w:t>
            </w:r>
            <w:r w:rsidDel="00000000" w:rsidR="00000000" w:rsidRPr="00000000">
              <w:rPr>
                <w:rFonts w:ascii="Palatino Linotype" w:cs="Palatino Linotype" w:eastAsia="Palatino Linotype" w:hAnsi="Palatino Linotype"/>
                <w:sz w:val="18"/>
                <w:szCs w:val="18"/>
                <w:rtl w:val="0"/>
              </w:rPr>
              <w:t xml:space="preserve">↑BacteroidetesandActinobacteria,↓FirmicutesandProteobacteriaatphylumlevel</w:t>
            </w:r>
          </w:p>
          <w:p w:rsidR="00000000" w:rsidDel="00000000" w:rsidP="00000000" w:rsidRDefault="00000000" w:rsidRPr="00000000" w14:paraId="0000042A">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↑Micrococcus Rariorum,↓Bifidobacterium And Streptococcus A Genus Level</w:t>
            </w:r>
          </w:p>
          <w:p w:rsidR="00000000" w:rsidDel="00000000" w:rsidP="00000000" w:rsidRDefault="00000000" w:rsidRPr="00000000" w14:paraId="0000042B">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AS Post-treatment:</w:t>
            </w:r>
          </w:p>
          <w:p w:rsidR="00000000" w:rsidDel="00000000" w:rsidP="00000000" w:rsidRDefault="00000000" w:rsidRPr="00000000" w14:paraId="0000042C">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↑Firmicutes,↓Actinobacteria At Phylum Level ↑Romboutsia</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2D">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Alpha Diversity Higher in post-treatment group</w:t>
            </w:r>
          </w:p>
          <w:p w:rsidR="00000000" w:rsidDel="00000000" w:rsidP="00000000" w:rsidRDefault="00000000" w:rsidRPr="00000000" w14:paraId="0000042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than controls(p&lt;0.05)</w:t>
            </w:r>
          </w:p>
          <w:p w:rsidR="00000000" w:rsidDel="00000000" w:rsidP="00000000" w:rsidRDefault="00000000" w:rsidRPr="00000000" w14:paraId="0000042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but no differences in pre-</w:t>
            </w:r>
          </w:p>
          <w:p w:rsidR="00000000" w:rsidDel="00000000" w:rsidP="00000000" w:rsidRDefault="00000000" w:rsidRPr="00000000" w14:paraId="0000043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and posttreatment</w:t>
            </w:r>
          </w:p>
          <w:p w:rsidR="00000000" w:rsidDel="00000000" w:rsidP="00000000" w:rsidRDefault="00000000" w:rsidRPr="00000000" w14:paraId="0000043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groups. No Difference in beta diversity</w:t>
            </w:r>
          </w:p>
        </w:tc>
      </w:tr>
      <w:tr>
        <w:trPr>
          <w:cantSplit w:val="0"/>
          <w:trHeight w:val="55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2">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Yuan YX, 2024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3">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24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4">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5">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anti-TNF</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6">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gene sequencing</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Pre-treatment: AS patients show ↑Proteobacteria (e.g Pasteurellaceae, Haemophilus, Enterobacter and Klebsiella quasipneumoniae),↑Muribaculaceae, ↑Barnesiellaceae, ↑Rikenellaceae, ↑Desulfovibrionaceae, ↑Lactobacillaceae, Butyricicoccaceae, Oscillospiraceae, Veillonellaceae, ↑Enterobacteriaceae and Methanobacteriaceae; ↓Intestinibacter, Erysipelotrichaceae Post treatment 1  month: ↓ Proteobacteria and Pasteurellaceae, including Haemophilus; ↓Enterobacter, Klebsiella quasipneumoniae, ↑ Intestinibacter, Erysipelotrichacea and other SCFA associated taxa</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8">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alpha diversity of AS is lower than in HC, post treatment higher even than HC; beta diversity showed difference between HC and AS, but treatment not restored to HC level.</w:t>
            </w:r>
          </w:p>
        </w:tc>
      </w:tr>
      <w:tr>
        <w:trPr>
          <w:cantSplit w:val="0"/>
          <w:trHeight w:val="34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9">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Zhang F , 01.2020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A">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78</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B">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Fecal samples</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C">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anti-TNF</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D">
            <w:pPr>
              <w:widowControl w:val="0"/>
              <w:spacing w:after="0" w:line="276" w:lineRule="auto"/>
              <w:jc w:val="center"/>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16S rRNA sequencing</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3E">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Post-treatment AS: In all groups, high proportion of Bacteroidetes and Firmicutes</w:t>
            </w:r>
          </w:p>
          <w:p w:rsidR="00000000" w:rsidDel="00000000" w:rsidP="00000000" w:rsidRDefault="00000000" w:rsidRPr="00000000" w14:paraId="0000043F">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Post-treatment AS: ↑Bacteroidetes and</w:t>
            </w:r>
          </w:p>
          <w:p w:rsidR="00000000" w:rsidDel="00000000" w:rsidP="00000000" w:rsidRDefault="00000000" w:rsidRPr="00000000" w14:paraId="00000440">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Proteobacteria. Genus Bifidobacterium and Parasutterella increased to normal values after therapy, whilst Escherichia -Shigella and Klebsiella genus decreased to normal values after treatment; whilst bacteria from the Dialister genus did not change</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tcPr>
          <w:p w:rsidR="00000000" w:rsidDel="00000000" w:rsidP="00000000" w:rsidRDefault="00000000" w:rsidRPr="00000000" w14:paraId="00000441">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No significant difference</w:t>
            </w:r>
          </w:p>
          <w:p w:rsidR="00000000" w:rsidDel="00000000" w:rsidP="00000000" w:rsidRDefault="00000000" w:rsidRPr="00000000" w14:paraId="00000442">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in alpha diversity after</w:t>
            </w:r>
          </w:p>
          <w:p w:rsidR="00000000" w:rsidDel="00000000" w:rsidP="00000000" w:rsidRDefault="00000000" w:rsidRPr="00000000" w14:paraId="00000443">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starting therapy with</w:t>
            </w:r>
          </w:p>
          <w:p w:rsidR="00000000" w:rsidDel="00000000" w:rsidP="00000000" w:rsidRDefault="00000000" w:rsidRPr="00000000" w14:paraId="00000444">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adalimumab. At baseline</w:t>
            </w:r>
          </w:p>
          <w:p w:rsidR="00000000" w:rsidDel="00000000" w:rsidP="00000000" w:rsidRDefault="00000000" w:rsidRPr="00000000" w14:paraId="00000445">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there were increased</w:t>
            </w:r>
          </w:p>
          <w:p w:rsidR="00000000" w:rsidDel="00000000" w:rsidP="00000000" w:rsidRDefault="00000000" w:rsidRPr="00000000" w14:paraId="00000446">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Chao1 and ACE indices</w:t>
            </w:r>
          </w:p>
          <w:p w:rsidR="00000000" w:rsidDel="00000000" w:rsidP="00000000" w:rsidRDefault="00000000" w:rsidRPr="00000000" w14:paraId="00000447">
            <w:pPr>
              <w:widowControl w:val="0"/>
              <w:spacing w:after="0" w:line="276" w:lineRule="auto"/>
              <w:rPr>
                <w:rFonts w:ascii="Palatino Linotype" w:cs="Palatino Linotype" w:eastAsia="Palatino Linotype" w:hAnsi="Palatino Linotype"/>
                <w:sz w:val="18"/>
                <w:szCs w:val="18"/>
              </w:rPr>
            </w:pPr>
            <w:r w:rsidDel="00000000" w:rsidR="00000000" w:rsidRPr="00000000">
              <w:rPr>
                <w:rFonts w:ascii="Palatino Linotype" w:cs="Palatino Linotype" w:eastAsia="Palatino Linotype" w:hAnsi="Palatino Linotype"/>
                <w:sz w:val="18"/>
                <w:szCs w:val="18"/>
                <w:rtl w:val="0"/>
              </w:rPr>
              <w:t xml:space="preserve">for the AS group. Beta</w:t>
            </w:r>
          </w:p>
          <w:p w:rsidR="00000000" w:rsidDel="00000000" w:rsidP="00000000" w:rsidRDefault="00000000" w:rsidRPr="00000000" w14:paraId="00000448">
            <w:pPr>
              <w:widowControl w:val="0"/>
              <w:spacing w:after="0" w:line="276" w:lineRule="auto"/>
              <w:rPr>
                <w:rFonts w:ascii="Palatino Linotype" w:cs="Palatino Linotype" w:eastAsia="Palatino Linotype" w:hAnsi="Palatino Linotype"/>
                <w:sz w:val="18"/>
                <w:szCs w:val="18"/>
                <w:highlight w:val="yellow"/>
              </w:rPr>
            </w:pPr>
            <w:r w:rsidDel="00000000" w:rsidR="00000000" w:rsidRPr="00000000">
              <w:rPr>
                <w:rFonts w:ascii="Palatino Linotype" w:cs="Palatino Linotype" w:eastAsia="Palatino Linotype" w:hAnsi="Palatino Linotype"/>
                <w:sz w:val="18"/>
                <w:szCs w:val="18"/>
                <w:rtl w:val="0"/>
              </w:rPr>
              <w:t xml:space="preserve">diversity was lower in AS vs HC </w:t>
            </w:r>
            <w:r w:rsidDel="00000000" w:rsidR="00000000" w:rsidRPr="00000000">
              <w:rPr>
                <w:rtl w:val="0"/>
              </w:rPr>
            </w:r>
          </w:p>
        </w:tc>
      </w:tr>
    </w:tbl>
    <w:p w:rsidR="00000000" w:rsidDel="00000000" w:rsidP="00000000" w:rsidRDefault="00000000" w:rsidRPr="00000000" w14:paraId="00000449">
      <w:pPr>
        <w:spacing w:after="0" w:before="0" w:line="259.20000000000005"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Ankylosing spondylitis; HC: healthy controls; SCFA: short chain fatty acids; IL-17: interleukin-17; TNF: tumor necrosis factor</w:t>
      </w:r>
    </w:p>
    <w:p w:rsidR="00000000" w:rsidDel="00000000" w:rsidP="00000000" w:rsidRDefault="00000000" w:rsidRPr="00000000" w14:paraId="0000044A">
      <w:pPr>
        <w:spacing w:after="0" w:before="0" w:line="259.20000000000005" w:lineRule="auto"/>
        <w:ind w:firstLine="72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4B">
      <w:pPr>
        <w:spacing w:after="0" w:before="0" w:line="259.20000000000005" w:lineRule="auto"/>
        <w:ind w:firstLine="72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3.3 Associations between the microbiome and inflammatory markers</w:t>
      </w:r>
    </w:p>
    <w:p w:rsidR="00000000" w:rsidDel="00000000" w:rsidP="00000000" w:rsidRDefault="00000000" w:rsidRPr="00000000" w14:paraId="0000044C">
      <w:pPr>
        <w:spacing w:after="0" w:before="0" w:line="259.20000000000005"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D">
      <w:pPr>
        <w:spacing w:after="0" w:before="0" w:line="259.20000000000005"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Microbial patterns and clinical disease activith have been found to correlate in a number of studies. While lower F.prausnitzii was linked to better functional indices and less inflammation, higher relative abundance of R.gnavus and Collinsella was linked to higher BASDAI, ASDAS, CRP levels. Additionally it was found that in certain cohorts, HLA-B27 status affected the microbial composition. For example, the microbial profiles of HLA-B27 positive patients were different from those of both HLA-B27 negative AS patients and healthy controls. </w:t>
      </w:r>
    </w:p>
    <w:p w:rsidR="00000000" w:rsidDel="00000000" w:rsidP="00000000" w:rsidRDefault="00000000" w:rsidRPr="00000000" w14:paraId="0000044E">
      <w:pPr>
        <w:spacing w:after="0" w:before="0" w:line="259.20000000000005"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F">
      <w:pPr>
        <w:spacing w:after="0" w:before="0" w:line="259.20000000000005"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3.4 Impact of treatment on the gut microbiome. </w:t>
      </w:r>
    </w:p>
    <w:p w:rsidR="00000000" w:rsidDel="00000000" w:rsidP="00000000" w:rsidRDefault="00000000" w:rsidRPr="00000000" w14:paraId="00000450">
      <w:pPr>
        <w:spacing w:after="0" w:before="0" w:line="259.20000000000005"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451">
      <w:pPr>
        <w:spacing w:after="0" w:before="0" w:line="259.20000000000005"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impact of biologic therapies, mainly TNF-alpha inhibitors and IL-17 inhibitors, on the gut microbiota was assessed in ten studies. Overall, the treatment was linked to a decrease in proinflammatory taxa and a partial restoration of microbial diversity. Prevotella and R.gvanus were notably reduced in treatment responders, while F.prausnitzii and other SCFA producers were occasionally more abundant. The length of treatment seemed to affect results, though, and the degree of microbiome normalization differed between the TNFi and IL-17i groups. </w:t>
      </w:r>
    </w:p>
    <w:p w:rsidR="00000000" w:rsidDel="00000000" w:rsidP="00000000" w:rsidRDefault="00000000" w:rsidRPr="00000000" w14:paraId="00000452">
      <w:pPr>
        <w:spacing w:after="0" w:before="0" w:line="259.20000000000005"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there were encouraging results, there were few longitudinal studies that adjusted for confounding variables like diet, medication history and comorbidities, which may influence the interpretation of treatment-related microbial shifts. </w:t>
      </w:r>
    </w:p>
    <w:p w:rsidR="00000000" w:rsidDel="00000000" w:rsidP="00000000" w:rsidRDefault="00000000" w:rsidRPr="00000000" w14:paraId="00000453">
      <w:pPr>
        <w:spacing w:after="0" w:before="0" w:line="259.20000000000005"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4">
      <w:pPr>
        <w:numPr>
          <w:ilvl w:val="0"/>
          <w:numId w:val="1"/>
        </w:numPr>
        <w:spacing w:after="0" w:before="0" w:line="259.20000000000005" w:lineRule="auto"/>
        <w:ind w:left="1440" w:hanging="36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Discussion</w:t>
      </w:r>
    </w:p>
    <w:p w:rsidR="00000000" w:rsidDel="00000000" w:rsidP="00000000" w:rsidRDefault="00000000" w:rsidRPr="00000000" w14:paraId="00000455">
      <w:pPr>
        <w:spacing w:after="0" w:before="0" w:line="259.20000000000005" w:lineRule="auto"/>
        <w:ind w:left="144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56">
      <w:pPr>
        <w:spacing w:after="0" w:before="0" w:line="259.20000000000005"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systematic review analyzed gut microbiome profiles in 38 eligible studies of ankylosing spondylitis patients to identify microbial changes consistently associated with disease status, activity, and treatment response. Our findings contribute to the growing body of evidence that gut dysbiosis may play a key role in the immunopathogenesis of AS, confirming the gut-joint axis theory and offering promise for microbiota-based diagnostics and therapeutics.</w:t>
      </w:r>
    </w:p>
    <w:p w:rsidR="00000000" w:rsidDel="00000000" w:rsidP="00000000" w:rsidRDefault="00000000" w:rsidRPr="00000000" w14:paraId="00000457">
      <w:pPr>
        <w:spacing w:after="0" w:before="0" w:line="259.2000000000000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8">
      <w:pPr>
        <w:spacing w:after="0" w:before="0" w:line="259.20000000000005"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consistent trends among studies was the depletion of microbial diversity in patients with AS, particularly in the setting of active disease or lack of treatment. Reductions in alpha diversity were frequently observed, albeit not universal, and tended to be related to high levels of systemic inflammation markers, such as CRP and ESR. This conforms to existing research in other inflammatory conditions, whereby microbial diversity is a hallmark of gut health and diversity loss relates to immune dysregulation.  </w:t>
      </w:r>
    </w:p>
    <w:p w:rsidR="00000000" w:rsidDel="00000000" w:rsidP="00000000" w:rsidRDefault="00000000" w:rsidRPr="00000000" w14:paraId="00000459">
      <w:pPr>
        <w:spacing w:after="0" w:before="0" w:line="259.20000000000005"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taxonomic level, reproducible microbial signatures were evident. Several pro-inflammatory or potentially pathogenic genera—Prevotella, Dialister, Collinsella, and Ruminococcus gnavus—were consistently enriched in AS patients, particularly those who were HLA-B27 positive or had a high disease activity score. These bacteria have been implicated in the promotion of Th17-driven inflammation and epithelial barrier dysfunction, key mechanisms in AS pathophysiology. Conversely, anti-inflammatory and SCFA-producing taxa—Faecalibacterium prausnitzii, Blautia, Roseburia, and Lachnospiraceae—were consistently depleted, implicating a dysbiosis of the homeostatic gut environment.</w:t>
      </w:r>
    </w:p>
    <w:p w:rsidR="00000000" w:rsidDel="00000000" w:rsidP="00000000" w:rsidRDefault="00000000" w:rsidRPr="00000000" w14:paraId="0000045A">
      <w:pPr>
        <w:spacing w:after="0" w:before="0" w:line="259.20000000000005"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Geographical and methodological heterogeneity was present in the results. Most studies were conducted in East Asia and Europe, with variation in sequencing methodologies (16S rRNA, shotgun metagenomics, qPCR). However, shared dysbiotic patterns were evident, supporting the biological relevance of gut microbiome alterations in AS regardless of study design and cohort differences.</w:t>
      </w:r>
    </w:p>
    <w:p w:rsidR="00000000" w:rsidDel="00000000" w:rsidP="00000000" w:rsidRDefault="00000000" w:rsidRPr="00000000" w14:paraId="0000045B">
      <w:pPr>
        <w:spacing w:after="0" w:before="0" w:line="259.20000000000005"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second important observation was the influence of biologic therapies on microbiome composition. Treatment with TNF inhibitors (TNFi) and IL-17 inhibitors (IL-17i) was shown to restore microbial balance to a certain extent and reduce pro-inflammatory taxa. TNFi treatment, for instance, was associated with reduced abundance of Prevotella and R. gnavus and increased SCFA-producing species, although findings were not always consistent across cohorts. These therapeutic changes in microbiota can either be downstream effects of systemic immune suppression or, perhaps, a direct modulation of microbial communities within the gut.</w:t>
      </w:r>
    </w:p>
    <w:p w:rsidR="00000000" w:rsidDel="00000000" w:rsidP="00000000" w:rsidRDefault="00000000" w:rsidRPr="00000000" w14:paraId="0000045C">
      <w:pPr>
        <w:spacing w:after="0" w:before="0" w:line="259.20000000000005"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Interestingly, there were some studies that implicated associations of gut dysbiosis with AS clinical features like BASDAI, BASFI, and ASDAS scores. In some cohorts, disease activity was positively associated with particular taxa like R. gnavus, while F. prausnitzii abundance showed inverse associations. Causal inferences are speculative owing to cross-sectional study designs and the lack of longitudinal data.</w:t>
      </w:r>
    </w:p>
    <w:p w:rsidR="00000000" w:rsidDel="00000000" w:rsidP="00000000" w:rsidRDefault="00000000" w:rsidRPr="00000000" w14:paraId="0000045D">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frequency of HLA-B27 positivity, 10% to 100%, was consistently greater in AS groups compared with controls. While the exact mechanism whereby HLA-B27 confers disease is still unknown, several hypotheses are that this allele may affect antigen presentation, protein folding, or possibly even the gut microbiota itself. There is a tri-directional interaction between HLA-B27, gut dysbiosis, and immune activation, where the presence of HLA-B27 may predispose individuals to a dysbiotic microbiome, thereby exacerbating intestinal and systemic inflammation.</w:t>
      </w:r>
    </w:p>
    <w:p w:rsidR="00000000" w:rsidDel="00000000" w:rsidP="00000000" w:rsidRDefault="00000000" w:rsidRPr="00000000" w14:paraId="0000045E">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a methodological perspective, 16S rRNA sequencing was the most commonly used technique, allowing for genus-level identification and overall compositional analysis. A few studies, such as Wen et al. (2017) and Berland et al. (2023), employed shotgun metagenomics, which offers more detailed taxonomic resolution and functional profiling. However, inconsistencies in sequencing depth, sample types (e.g., stool vs. mucosal biopsies), and bioinformatics pipelines may limit the comparability of findings across studies.</w:t>
      </w:r>
    </w:p>
    <w:p w:rsidR="00000000" w:rsidDel="00000000" w:rsidP="00000000" w:rsidRDefault="00000000" w:rsidRPr="00000000" w14:paraId="0000045F">
      <w:pPr>
        <w:spacing w:after="0" w:before="0" w:line="259.20000000000005"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influence of TNF inhibitors and other treatments on microbiota composition was assessed in several studies. While some, like Yin et al. (2019), reported partial restoration of beneficial microbes with anti-TNF therapy, others did not observe significant microbial shifts. This suggests that while current therapies may modulate microbial patterns to some extent, they may not fully reverse dysbiosis or its immunological consequences. It also raises the possibility of microbiota-directed adjunctive therapies to enhance treatment efficacy.</w:t>
      </w:r>
    </w:p>
    <w:p w:rsidR="00000000" w:rsidDel="00000000" w:rsidP="00000000" w:rsidRDefault="00000000" w:rsidRPr="00000000" w14:paraId="00000460">
      <w:pPr>
        <w:spacing w:after="0" w:before="0" w:line="259.20000000000005"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Importantly, study limitations must be acknowledged. Many of the included studies had small sample sizes, lacked dietary or lifestyle control, and varied in how they accounted for potential confounders like medication use and disease duration. These factors could substantially affect microbial composition and should be standardized or accounted for in future research.</w:t>
      </w:r>
    </w:p>
    <w:p w:rsidR="00000000" w:rsidDel="00000000" w:rsidP="00000000" w:rsidRDefault="00000000" w:rsidRPr="00000000" w14:paraId="00000461">
      <w:pPr>
        <w:spacing w:after="0" w:before="0" w:line="259.20000000000005"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our review supports the hypothesis that gut dysbiosis plays a significant role in the immunopathology of AS. Although the precise causal mechanisms remain to be elucidated, the evidence indicates that the microbiome could serve both as a biomarker for disease activity and a potential target for therapeutic intervention. Future research should prioritize longitudinal, multi-omic studies with larger, diverse cohorts and controlled variables to better define causality and explore microbiota-based treatments.</w:t>
      </w:r>
    </w:p>
    <w:p w:rsidR="00000000" w:rsidDel="00000000" w:rsidP="00000000" w:rsidRDefault="00000000" w:rsidRPr="00000000" w14:paraId="00000462">
      <w:pPr>
        <w:spacing w:after="0" w:before="0" w:line="259.20000000000005"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3">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64">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65">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66">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67">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68">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69">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6A">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6B">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6C">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6D">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6E">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6F">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70">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71">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72">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73">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74">
      <w:pPr>
        <w:jc w:val="center"/>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475">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47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77">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Asquith, M., Sternes, P. R., Costello, M., Karstens, L., Diamond, S., Martin, T. M., Li, Z., Marshall, M. S., Spector, T. D., Cao, K. L., Rosenbaum, J. T., &amp; Brown, M. A. (2019). HLA alleles associated with risk of ankylosing spondylitis and rheumatoid arthritis influence the gut microbiome. </w:t>
      </w:r>
      <w:r w:rsidDel="00000000" w:rsidR="00000000" w:rsidRPr="00000000">
        <w:rPr>
          <w:rFonts w:ascii="Times New Roman" w:cs="Times New Roman" w:eastAsia="Times New Roman" w:hAnsi="Times New Roman"/>
          <w:i w:val="1"/>
          <w:sz w:val="24"/>
          <w:szCs w:val="24"/>
          <w:rtl w:val="0"/>
        </w:rPr>
        <w:t xml:space="preserve">Arthritis &amp; Rheumatology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71</w:t>
      </w:r>
      <w:r w:rsidDel="00000000" w:rsidR="00000000" w:rsidRPr="00000000">
        <w:rPr>
          <w:rFonts w:ascii="Times New Roman" w:cs="Times New Roman" w:eastAsia="Times New Roman" w:hAnsi="Times New Roman"/>
          <w:sz w:val="24"/>
          <w:szCs w:val="24"/>
          <w:rtl w:val="0"/>
        </w:rPr>
        <w:t xml:space="preserve">(10), 1642–1650. </w:t>
      </w:r>
      <w:hyperlink r:id="rId9">
        <w:r w:rsidDel="00000000" w:rsidR="00000000" w:rsidRPr="00000000">
          <w:rPr>
            <w:rFonts w:ascii="Times New Roman" w:cs="Times New Roman" w:eastAsia="Times New Roman" w:hAnsi="Times New Roman"/>
            <w:color w:val="1155cc"/>
            <w:sz w:val="24"/>
            <w:szCs w:val="24"/>
            <w:u w:val="single"/>
            <w:rtl w:val="0"/>
          </w:rPr>
          <w:t xml:space="preserve">https://doi.org/10.1002/art.40917</w:t>
        </w:r>
      </w:hyperlink>
      <w:r w:rsidDel="00000000" w:rsidR="00000000" w:rsidRPr="00000000">
        <w:rPr>
          <w:rtl w:val="0"/>
        </w:rPr>
      </w:r>
    </w:p>
    <w:p w:rsidR="00000000" w:rsidDel="00000000" w:rsidP="00000000" w:rsidRDefault="00000000" w:rsidRPr="00000000" w14:paraId="00000478">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Berland, M., Meslier, V., Ibraim, S. B., Chatelier, E. L., Pons, N., Maziers, N., Thirion, F., Gauthier, F., Oñate, F. P., Furet, J., Leboime, A., Said‐Nahal, R., Levenez, F., Galleron, N., Quinquis, B., Langella, P., Ehrlich, S. D., &amp; Breban, M. (2022). Both disease activity and HLA–B27 status are associated with gut microbiome dysbiosis in spondyloarthritis patients. </w:t>
      </w:r>
      <w:r w:rsidDel="00000000" w:rsidR="00000000" w:rsidRPr="00000000">
        <w:rPr>
          <w:rFonts w:ascii="Times New Roman" w:cs="Times New Roman" w:eastAsia="Times New Roman" w:hAnsi="Times New Roman"/>
          <w:i w:val="1"/>
          <w:sz w:val="24"/>
          <w:szCs w:val="24"/>
          <w:rtl w:val="0"/>
        </w:rPr>
        <w:t xml:space="preserve">Arthritis &amp; Rheumatology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75</w:t>
      </w:r>
      <w:r w:rsidDel="00000000" w:rsidR="00000000" w:rsidRPr="00000000">
        <w:rPr>
          <w:rFonts w:ascii="Times New Roman" w:cs="Times New Roman" w:eastAsia="Times New Roman" w:hAnsi="Times New Roman"/>
          <w:sz w:val="24"/>
          <w:szCs w:val="24"/>
          <w:rtl w:val="0"/>
        </w:rPr>
        <w:t xml:space="preserve">(1), 41–52. </w:t>
      </w:r>
      <w:hyperlink r:id="rId10">
        <w:r w:rsidDel="00000000" w:rsidR="00000000" w:rsidRPr="00000000">
          <w:rPr>
            <w:rFonts w:ascii="Times New Roman" w:cs="Times New Roman" w:eastAsia="Times New Roman" w:hAnsi="Times New Roman"/>
            <w:color w:val="1155cc"/>
            <w:sz w:val="24"/>
            <w:szCs w:val="24"/>
            <w:u w:val="single"/>
            <w:rtl w:val="0"/>
          </w:rPr>
          <w:t xml:space="preserve">https://doi.org/10.1002/art.42289</w:t>
        </w:r>
      </w:hyperlink>
      <w:r w:rsidDel="00000000" w:rsidR="00000000" w:rsidRPr="00000000">
        <w:rPr>
          <w:rtl w:val="0"/>
        </w:rPr>
      </w:r>
    </w:p>
    <w:p w:rsidR="00000000" w:rsidDel="00000000" w:rsidP="00000000" w:rsidRDefault="00000000" w:rsidRPr="00000000" w14:paraId="00000479">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Berlinberg, A. J., Regner, E. H., Stahly, A., Brar, A., Reisz, J. A., Gerich, M. E., Fennimore, B. P., Scott, F. I., Freeman, A. E., &amp; Kuhn, K. A. (2021). Multi ‘Omics analysis of intestinal tissue in ankylosing spondylitis identifies alterations in the tryptophan metabolism pathway. </w:t>
      </w:r>
      <w:r w:rsidDel="00000000" w:rsidR="00000000" w:rsidRPr="00000000">
        <w:rPr>
          <w:rFonts w:ascii="Times New Roman" w:cs="Times New Roman" w:eastAsia="Times New Roman" w:hAnsi="Times New Roman"/>
          <w:i w:val="1"/>
          <w:sz w:val="24"/>
          <w:szCs w:val="24"/>
          <w:rtl w:val="0"/>
        </w:rPr>
        <w:t xml:space="preserve">Frontiers in Immunology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 </w:t>
      </w:r>
      <w:hyperlink r:id="rId11">
        <w:r w:rsidDel="00000000" w:rsidR="00000000" w:rsidRPr="00000000">
          <w:rPr>
            <w:rFonts w:ascii="Times New Roman" w:cs="Times New Roman" w:eastAsia="Times New Roman" w:hAnsi="Times New Roman"/>
            <w:color w:val="1155cc"/>
            <w:sz w:val="24"/>
            <w:szCs w:val="24"/>
            <w:u w:val="single"/>
            <w:rtl w:val="0"/>
          </w:rPr>
          <w:t xml:space="preserve">https://doi.org/10.3389/fimmu.2021.587119</w:t>
        </w:r>
      </w:hyperlink>
      <w:r w:rsidDel="00000000" w:rsidR="00000000" w:rsidRPr="00000000">
        <w:rPr>
          <w:rtl w:val="0"/>
        </w:rPr>
      </w:r>
    </w:p>
    <w:p w:rsidR="00000000" w:rsidDel="00000000" w:rsidP="00000000" w:rsidRDefault="00000000" w:rsidRPr="00000000" w14:paraId="0000047A">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Breban, M., Tap, J., Leboime, A., Said-Nahal, R., Langella, P., Chiocchia, G., Furet, J., &amp; Sokol, H. (2017). Faecal microbiota study reveals specific dysbiosis in spondyloarthritis. </w:t>
      </w:r>
      <w:r w:rsidDel="00000000" w:rsidR="00000000" w:rsidRPr="00000000">
        <w:rPr>
          <w:rFonts w:ascii="Times New Roman" w:cs="Times New Roman" w:eastAsia="Times New Roman" w:hAnsi="Times New Roman"/>
          <w:i w:val="1"/>
          <w:sz w:val="24"/>
          <w:szCs w:val="24"/>
          <w:rtl w:val="0"/>
        </w:rPr>
        <w:t xml:space="preserve">Annals of the Rheumatic Diseases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76</w:t>
      </w:r>
      <w:r w:rsidDel="00000000" w:rsidR="00000000" w:rsidRPr="00000000">
        <w:rPr>
          <w:rFonts w:ascii="Times New Roman" w:cs="Times New Roman" w:eastAsia="Times New Roman" w:hAnsi="Times New Roman"/>
          <w:sz w:val="24"/>
          <w:szCs w:val="24"/>
          <w:rtl w:val="0"/>
        </w:rPr>
        <w:t xml:space="preserve">(9), 1614–1622. </w:t>
      </w:r>
      <w:hyperlink r:id="rId12">
        <w:r w:rsidDel="00000000" w:rsidR="00000000" w:rsidRPr="00000000">
          <w:rPr>
            <w:rFonts w:ascii="Times New Roman" w:cs="Times New Roman" w:eastAsia="Times New Roman" w:hAnsi="Times New Roman"/>
            <w:color w:val="1155cc"/>
            <w:sz w:val="24"/>
            <w:szCs w:val="24"/>
            <w:u w:val="single"/>
            <w:rtl w:val="0"/>
          </w:rPr>
          <w:t xml:space="preserve">https://doi.org/10.1136/annrheumdis-2016-211064</w:t>
        </w:r>
      </w:hyperlink>
      <w:r w:rsidDel="00000000" w:rsidR="00000000" w:rsidRPr="00000000">
        <w:rPr>
          <w:rtl w:val="0"/>
        </w:rPr>
      </w:r>
    </w:p>
    <w:p w:rsidR="00000000" w:rsidDel="00000000" w:rsidP="00000000" w:rsidRDefault="00000000" w:rsidRPr="00000000" w14:paraId="0000047B">
      <w:pPr>
        <w:spacing w:after="0" w:line="259.20000000000005"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Bohn, R., Cooney, M., Deodhar, A., Curtis, J. R., &amp; Golembesky, A. (2017). Incidence and prevalence of axial spondyloarthritis: methodologic challenges and gaps in the literature. </w:t>
      </w:r>
      <w:r w:rsidDel="00000000" w:rsidR="00000000" w:rsidRPr="00000000">
        <w:rPr>
          <w:rFonts w:ascii="Times New Roman" w:cs="Times New Roman" w:eastAsia="Times New Roman" w:hAnsi="Times New Roman"/>
          <w:i w:val="1"/>
          <w:sz w:val="24"/>
          <w:szCs w:val="24"/>
          <w:rtl w:val="0"/>
        </w:rPr>
        <w:t xml:space="preserve">PubMed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36</w:t>
      </w:r>
      <w:r w:rsidDel="00000000" w:rsidR="00000000" w:rsidRPr="00000000">
        <w:rPr>
          <w:rFonts w:ascii="Times New Roman" w:cs="Times New Roman" w:eastAsia="Times New Roman" w:hAnsi="Times New Roman"/>
          <w:sz w:val="24"/>
          <w:szCs w:val="24"/>
          <w:rtl w:val="0"/>
        </w:rPr>
        <w:t xml:space="preserve">(2), 263–274. </w:t>
      </w:r>
      <w:hyperlink r:id="rId13">
        <w:r w:rsidDel="00000000" w:rsidR="00000000" w:rsidRPr="00000000">
          <w:rPr>
            <w:rFonts w:ascii="Times New Roman" w:cs="Times New Roman" w:eastAsia="Times New Roman" w:hAnsi="Times New Roman"/>
            <w:color w:val="1155cc"/>
            <w:sz w:val="24"/>
            <w:szCs w:val="24"/>
            <w:u w:val="single"/>
            <w:rtl w:val="0"/>
          </w:rPr>
          <w:t xml:space="preserve">https://pubmed.ncbi.nlm.nih.gov/29148402</w:t>
        </w:r>
      </w:hyperlink>
      <w:r w:rsidDel="00000000" w:rsidR="00000000" w:rsidRPr="00000000">
        <w:rPr>
          <w:rtl w:val="0"/>
        </w:rPr>
      </w:r>
    </w:p>
    <w:p w:rsidR="00000000" w:rsidDel="00000000" w:rsidP="00000000" w:rsidRDefault="00000000" w:rsidRPr="00000000" w14:paraId="0000047C">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Cardoneanu, A., Cozma, S., Rezus, C., Petrariu, F., Burlui, A., &amp; Rezus, E. (2021). Characteristics of the intestinal microbiome in ankylosing spondylitis. </w:t>
      </w:r>
      <w:r w:rsidDel="00000000" w:rsidR="00000000" w:rsidRPr="00000000">
        <w:rPr>
          <w:rFonts w:ascii="Times New Roman" w:cs="Times New Roman" w:eastAsia="Times New Roman" w:hAnsi="Times New Roman"/>
          <w:i w:val="1"/>
          <w:sz w:val="24"/>
          <w:szCs w:val="24"/>
          <w:rtl w:val="0"/>
        </w:rPr>
        <w:t xml:space="preserve">Experimental and Therapeutic Medicine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22</w:t>
      </w:r>
      <w:r w:rsidDel="00000000" w:rsidR="00000000" w:rsidRPr="00000000">
        <w:rPr>
          <w:rFonts w:ascii="Times New Roman" w:cs="Times New Roman" w:eastAsia="Times New Roman" w:hAnsi="Times New Roman"/>
          <w:sz w:val="24"/>
          <w:szCs w:val="24"/>
          <w:rtl w:val="0"/>
        </w:rPr>
        <w:t xml:space="preserve">(1). </w:t>
      </w:r>
      <w:hyperlink r:id="rId14">
        <w:r w:rsidDel="00000000" w:rsidR="00000000" w:rsidRPr="00000000">
          <w:rPr>
            <w:rFonts w:ascii="Times New Roman" w:cs="Times New Roman" w:eastAsia="Times New Roman" w:hAnsi="Times New Roman"/>
            <w:color w:val="1155cc"/>
            <w:sz w:val="24"/>
            <w:szCs w:val="24"/>
            <w:u w:val="single"/>
            <w:rtl w:val="0"/>
          </w:rPr>
          <w:t xml:space="preserve">https://doi.org/10.3892/etm.2021.10108</w:t>
        </w:r>
      </w:hyperlink>
      <w:r w:rsidDel="00000000" w:rsidR="00000000" w:rsidRPr="00000000">
        <w:rPr>
          <w:rtl w:val="0"/>
        </w:rPr>
      </w:r>
    </w:p>
    <w:p w:rsidR="00000000" w:rsidDel="00000000" w:rsidP="00000000" w:rsidRDefault="00000000" w:rsidRPr="00000000" w14:paraId="0000047D">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Chen, Z., Qi, J., Wei, Q., Zheng, X., Wu, X., Li, X., Liao, Z., Lin, Z., &amp; Gu, J. (2019). Variations in gut microbial profiles in ankylosing spondylitis: disease phenotype-related dysbiosis. </w:t>
      </w:r>
      <w:r w:rsidDel="00000000" w:rsidR="00000000" w:rsidRPr="00000000">
        <w:rPr>
          <w:rFonts w:ascii="Times New Roman" w:cs="Times New Roman" w:eastAsia="Times New Roman" w:hAnsi="Times New Roman"/>
          <w:i w:val="1"/>
          <w:sz w:val="24"/>
          <w:szCs w:val="24"/>
          <w:rtl w:val="0"/>
        </w:rPr>
        <w:t xml:space="preserve">Annals of Translational Medicine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7</w:t>
      </w:r>
      <w:r w:rsidDel="00000000" w:rsidR="00000000" w:rsidRPr="00000000">
        <w:rPr>
          <w:rFonts w:ascii="Times New Roman" w:cs="Times New Roman" w:eastAsia="Times New Roman" w:hAnsi="Times New Roman"/>
          <w:sz w:val="24"/>
          <w:szCs w:val="24"/>
          <w:rtl w:val="0"/>
        </w:rPr>
        <w:t xml:space="preserve">(20), 571. </w:t>
      </w:r>
      <w:hyperlink r:id="rId15">
        <w:r w:rsidDel="00000000" w:rsidR="00000000" w:rsidRPr="00000000">
          <w:rPr>
            <w:rFonts w:ascii="Times New Roman" w:cs="Times New Roman" w:eastAsia="Times New Roman" w:hAnsi="Times New Roman"/>
            <w:color w:val="1155cc"/>
            <w:sz w:val="24"/>
            <w:szCs w:val="24"/>
            <w:u w:val="single"/>
            <w:rtl w:val="0"/>
          </w:rPr>
          <w:t xml:space="preserve">https://doi.org/10.21037/atm.2019.09.41</w:t>
        </w:r>
      </w:hyperlink>
      <w:r w:rsidDel="00000000" w:rsidR="00000000" w:rsidRPr="00000000">
        <w:rPr>
          <w:rtl w:val="0"/>
        </w:rPr>
      </w:r>
    </w:p>
    <w:p w:rsidR="00000000" w:rsidDel="00000000" w:rsidP="00000000" w:rsidRDefault="00000000" w:rsidRPr="00000000" w14:paraId="0000047E">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Chmielińska, M., Felis-Giemza, A., Olesińska, M., Paradowska-Gorycka, A., &amp; Szukiewicz, D. (2024). The failure of biological treatment in axial spondyloarthritis is linked to the factors related to increased intestinal permeability and dysbiosis: prospective observational cohort study. </w:t>
      </w:r>
      <w:r w:rsidDel="00000000" w:rsidR="00000000" w:rsidRPr="00000000">
        <w:rPr>
          <w:rFonts w:ascii="Times New Roman" w:cs="Times New Roman" w:eastAsia="Times New Roman" w:hAnsi="Times New Roman"/>
          <w:i w:val="1"/>
          <w:sz w:val="24"/>
          <w:szCs w:val="24"/>
          <w:rtl w:val="0"/>
        </w:rPr>
        <w:t xml:space="preserve">Rheumatology International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44</w:t>
      </w:r>
      <w:r w:rsidDel="00000000" w:rsidR="00000000" w:rsidRPr="00000000">
        <w:rPr>
          <w:rFonts w:ascii="Times New Roman" w:cs="Times New Roman" w:eastAsia="Times New Roman" w:hAnsi="Times New Roman"/>
          <w:sz w:val="24"/>
          <w:szCs w:val="24"/>
          <w:rtl w:val="0"/>
        </w:rPr>
        <w:t xml:space="preserve">(8), 1487–1499. </w:t>
      </w:r>
      <w:hyperlink r:id="rId16">
        <w:r w:rsidDel="00000000" w:rsidR="00000000" w:rsidRPr="00000000">
          <w:rPr>
            <w:rFonts w:ascii="Times New Roman" w:cs="Times New Roman" w:eastAsia="Times New Roman" w:hAnsi="Times New Roman"/>
            <w:color w:val="1155cc"/>
            <w:sz w:val="24"/>
            <w:szCs w:val="24"/>
            <w:u w:val="single"/>
            <w:rtl w:val="0"/>
          </w:rPr>
          <w:t xml:space="preserve">https://doi.org/10.1007/s00296-024-05614-4</w:t>
        </w:r>
      </w:hyperlink>
      <w:r w:rsidDel="00000000" w:rsidR="00000000" w:rsidRPr="00000000">
        <w:rPr>
          <w:rtl w:val="0"/>
        </w:rPr>
      </w:r>
    </w:p>
    <w:p w:rsidR="00000000" w:rsidDel="00000000" w:rsidP="00000000" w:rsidRDefault="00000000" w:rsidRPr="00000000" w14:paraId="0000047F">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Costello, M., Ciccia, F., Willner, D., Warrington, N., Robinson, P. C., Gardiner, B., Marshall, M., Kenna, T. J., Triolo, G., &amp; Brown, M. A. (2014). Brief Report: Intestinal dysbiosis in ankylosing Spondylitis. </w:t>
      </w:r>
      <w:r w:rsidDel="00000000" w:rsidR="00000000" w:rsidRPr="00000000">
        <w:rPr>
          <w:rFonts w:ascii="Times New Roman" w:cs="Times New Roman" w:eastAsia="Times New Roman" w:hAnsi="Times New Roman"/>
          <w:i w:val="1"/>
          <w:sz w:val="24"/>
          <w:szCs w:val="24"/>
          <w:rtl w:val="0"/>
        </w:rPr>
        <w:t xml:space="preserve">Arthritis &amp; Rheumatology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67</w:t>
      </w:r>
      <w:r w:rsidDel="00000000" w:rsidR="00000000" w:rsidRPr="00000000">
        <w:rPr>
          <w:rFonts w:ascii="Times New Roman" w:cs="Times New Roman" w:eastAsia="Times New Roman" w:hAnsi="Times New Roman"/>
          <w:sz w:val="24"/>
          <w:szCs w:val="24"/>
          <w:rtl w:val="0"/>
        </w:rPr>
        <w:t xml:space="preserve">(3), 686–691. </w:t>
      </w:r>
      <w:hyperlink r:id="rId17">
        <w:r w:rsidDel="00000000" w:rsidR="00000000" w:rsidRPr="00000000">
          <w:rPr>
            <w:rFonts w:ascii="Times New Roman" w:cs="Times New Roman" w:eastAsia="Times New Roman" w:hAnsi="Times New Roman"/>
            <w:color w:val="1155cc"/>
            <w:sz w:val="24"/>
            <w:szCs w:val="24"/>
            <w:u w:val="single"/>
            <w:rtl w:val="0"/>
          </w:rPr>
          <w:t xml:space="preserve">https://doi.org/10.1002/art.38967</w:t>
        </w:r>
      </w:hyperlink>
      <w:r w:rsidDel="00000000" w:rsidR="00000000" w:rsidRPr="00000000">
        <w:rPr>
          <w:rtl w:val="0"/>
        </w:rPr>
      </w:r>
    </w:p>
    <w:p w:rsidR="00000000" w:rsidDel="00000000" w:rsidP="00000000" w:rsidRDefault="00000000" w:rsidRPr="00000000" w14:paraId="00000480">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Dai, Q., Xia, X., He, C., Huang, Y., Chen, Y., Wu, Y., Chen, Y., Hou, Q., Shu, Y., Zhang, W., Xu, H., Yin, G., &amp; Xie, Q. (2022). Association of anti-TNF-α treatment with gut microbiota of patients with ankylosing spondylitis. </w:t>
      </w:r>
      <w:r w:rsidDel="00000000" w:rsidR="00000000" w:rsidRPr="00000000">
        <w:rPr>
          <w:rFonts w:ascii="Times New Roman" w:cs="Times New Roman" w:eastAsia="Times New Roman" w:hAnsi="Times New Roman"/>
          <w:i w:val="1"/>
          <w:sz w:val="24"/>
          <w:szCs w:val="24"/>
          <w:rtl w:val="0"/>
        </w:rPr>
        <w:t xml:space="preserve">Pharmacogenetics and Genomics</w:t>
      </w:r>
      <w:r w:rsidDel="00000000" w:rsidR="00000000" w:rsidRPr="00000000">
        <w:rPr>
          <w:rFonts w:ascii="Times New Roman" w:cs="Times New Roman" w:eastAsia="Times New Roman" w:hAnsi="Times New Roman"/>
          <w:sz w:val="24"/>
          <w:szCs w:val="24"/>
          <w:rtl w:val="0"/>
        </w:rPr>
        <w:t xml:space="preserve">. </w:t>
      </w:r>
      <w:hyperlink r:id="rId18">
        <w:r w:rsidDel="00000000" w:rsidR="00000000" w:rsidRPr="00000000">
          <w:rPr>
            <w:rFonts w:ascii="Times New Roman" w:cs="Times New Roman" w:eastAsia="Times New Roman" w:hAnsi="Times New Roman"/>
            <w:color w:val="1155cc"/>
            <w:sz w:val="24"/>
            <w:szCs w:val="24"/>
            <w:u w:val="single"/>
            <w:rtl w:val="0"/>
          </w:rPr>
          <w:t xml:space="preserve">https://doi.org/10.1097/fpc.0000000000000468</w:t>
        </w:r>
      </w:hyperlink>
      <w:r w:rsidDel="00000000" w:rsidR="00000000" w:rsidRPr="00000000">
        <w:rPr>
          <w:rtl w:val="0"/>
        </w:rPr>
      </w:r>
    </w:p>
    <w:p w:rsidR="00000000" w:rsidDel="00000000" w:rsidP="00000000" w:rsidRDefault="00000000" w:rsidRPr="00000000" w14:paraId="00000481">
      <w:pPr>
        <w:spacing w:after="0" w:line="259.20000000000005"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Dean, L. E., Jones, G. T., MacDonald, A. G., Downham, C., Sturrock, R. D., &amp; Macfarlane, G. J. (2013). Global prevalence of ankylosing spondylitis. </w:t>
      </w:r>
      <w:r w:rsidDel="00000000" w:rsidR="00000000" w:rsidRPr="00000000">
        <w:rPr>
          <w:rFonts w:ascii="Times New Roman" w:cs="Times New Roman" w:eastAsia="Times New Roman" w:hAnsi="Times New Roman"/>
          <w:i w:val="1"/>
          <w:sz w:val="24"/>
          <w:szCs w:val="24"/>
          <w:rtl w:val="0"/>
        </w:rPr>
        <w:t xml:space="preserve">Lara D. Veeken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53</w:t>
      </w:r>
      <w:r w:rsidDel="00000000" w:rsidR="00000000" w:rsidRPr="00000000">
        <w:rPr>
          <w:rFonts w:ascii="Times New Roman" w:cs="Times New Roman" w:eastAsia="Times New Roman" w:hAnsi="Times New Roman"/>
          <w:sz w:val="24"/>
          <w:szCs w:val="24"/>
          <w:rtl w:val="0"/>
        </w:rPr>
        <w:t xml:space="preserve">(4), 650–657. </w:t>
      </w:r>
      <w:hyperlink r:id="rId19">
        <w:r w:rsidDel="00000000" w:rsidR="00000000" w:rsidRPr="00000000">
          <w:rPr>
            <w:rFonts w:ascii="Times New Roman" w:cs="Times New Roman" w:eastAsia="Times New Roman" w:hAnsi="Times New Roman"/>
            <w:color w:val="1155cc"/>
            <w:sz w:val="24"/>
            <w:szCs w:val="24"/>
            <w:u w:val="single"/>
            <w:rtl w:val="0"/>
          </w:rPr>
          <w:t xml:space="preserve">https://doi.org/10.1093/rheumatology/ket387</w:t>
        </w:r>
      </w:hyperlink>
      <w:r w:rsidDel="00000000" w:rsidR="00000000" w:rsidRPr="00000000">
        <w:rPr>
          <w:rtl w:val="0"/>
        </w:rPr>
      </w:r>
    </w:p>
    <w:p w:rsidR="00000000" w:rsidDel="00000000" w:rsidP="00000000" w:rsidRDefault="00000000" w:rsidRPr="00000000" w14:paraId="00000482">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Essex, M., Rodriguez, V. R., Rademacher, J., Proft, F., Löber, U., Markó, L., Pleyer, U., Strowig, T., Marchand, J., Kirwan, J. A., Siegmund, B., Forslund, S. K., &amp; Poddubnyy, D. (2023). Shared and distinct gut microbiota in spondyloarthritis, acute anterior uveitis, and Crohn’s disease. </w:t>
      </w:r>
      <w:r w:rsidDel="00000000" w:rsidR="00000000" w:rsidRPr="00000000">
        <w:rPr>
          <w:rFonts w:ascii="Times New Roman" w:cs="Times New Roman" w:eastAsia="Times New Roman" w:hAnsi="Times New Roman"/>
          <w:i w:val="1"/>
          <w:sz w:val="24"/>
          <w:szCs w:val="24"/>
          <w:rtl w:val="0"/>
        </w:rPr>
        <w:t xml:space="preserve">Arthritis &amp; Rheumatology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76</w:t>
      </w:r>
      <w:r w:rsidDel="00000000" w:rsidR="00000000" w:rsidRPr="00000000">
        <w:rPr>
          <w:rFonts w:ascii="Times New Roman" w:cs="Times New Roman" w:eastAsia="Times New Roman" w:hAnsi="Times New Roman"/>
          <w:sz w:val="24"/>
          <w:szCs w:val="24"/>
          <w:rtl w:val="0"/>
        </w:rPr>
        <w:t xml:space="preserve">(1), 48–58. </w:t>
      </w:r>
      <w:hyperlink r:id="rId20">
        <w:r w:rsidDel="00000000" w:rsidR="00000000" w:rsidRPr="00000000">
          <w:rPr>
            <w:rFonts w:ascii="Times New Roman" w:cs="Times New Roman" w:eastAsia="Times New Roman" w:hAnsi="Times New Roman"/>
            <w:color w:val="1155cc"/>
            <w:sz w:val="24"/>
            <w:szCs w:val="24"/>
            <w:u w:val="single"/>
            <w:rtl w:val="0"/>
          </w:rPr>
          <w:t xml:space="preserve">https://doi.org/10.1002/art.42658</w:t>
        </w:r>
      </w:hyperlink>
      <w:r w:rsidDel="00000000" w:rsidR="00000000" w:rsidRPr="00000000">
        <w:rPr>
          <w:rtl w:val="0"/>
        </w:rPr>
      </w:r>
    </w:p>
    <w:p w:rsidR="00000000" w:rsidDel="00000000" w:rsidP="00000000" w:rsidRDefault="00000000" w:rsidRPr="00000000" w14:paraId="00000483">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Gill, T., Stauffer, P., Asquith, M., Laderas, T., Martin, T. M., Davin, S., Schleisman, M., Ramirez, C., Ogle, K., Lindquist, I., Nguyen, J., Planck, S. R., Shaut, C., Diamond, S., Rosenbaum, J. T., &amp; Karstens, L. (2022). Axial spondyloarthritis patients have altered mucosal IgA response to oral and fecal microbiota. </w:t>
      </w:r>
      <w:r w:rsidDel="00000000" w:rsidR="00000000" w:rsidRPr="00000000">
        <w:rPr>
          <w:rFonts w:ascii="Times New Roman" w:cs="Times New Roman" w:eastAsia="Times New Roman" w:hAnsi="Times New Roman"/>
          <w:i w:val="1"/>
          <w:sz w:val="24"/>
          <w:szCs w:val="24"/>
          <w:rtl w:val="0"/>
        </w:rPr>
        <w:t xml:space="preserve">Frontiers in Immunology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13</w:t>
      </w:r>
      <w:r w:rsidDel="00000000" w:rsidR="00000000" w:rsidRPr="00000000">
        <w:rPr>
          <w:rFonts w:ascii="Times New Roman" w:cs="Times New Roman" w:eastAsia="Times New Roman" w:hAnsi="Times New Roman"/>
          <w:sz w:val="24"/>
          <w:szCs w:val="24"/>
          <w:rtl w:val="0"/>
        </w:rPr>
        <w:t xml:space="preserve">. </w:t>
      </w:r>
      <w:hyperlink r:id="rId21">
        <w:r w:rsidDel="00000000" w:rsidR="00000000" w:rsidRPr="00000000">
          <w:rPr>
            <w:rFonts w:ascii="Times New Roman" w:cs="Times New Roman" w:eastAsia="Times New Roman" w:hAnsi="Times New Roman"/>
            <w:color w:val="1155cc"/>
            <w:sz w:val="24"/>
            <w:szCs w:val="24"/>
            <w:u w:val="single"/>
            <w:rtl w:val="0"/>
          </w:rPr>
          <w:t xml:space="preserve">https://doi.org/10.3389/fimmu.2022.965634</w:t>
        </w:r>
      </w:hyperlink>
      <w:r w:rsidDel="00000000" w:rsidR="00000000" w:rsidRPr="00000000">
        <w:rPr>
          <w:rtl w:val="0"/>
        </w:rPr>
      </w:r>
    </w:p>
    <w:p w:rsidR="00000000" w:rsidDel="00000000" w:rsidP="00000000" w:rsidRDefault="00000000" w:rsidRPr="00000000" w14:paraId="00000484">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Guggino, G., Mauro, D., Rizzo, A., Alessandro, R., Raimondo, S., Bergot, A., Rahman, M. A., Ellis, J. J., Milling, S., Lories, R., Elewaut, D., Brown, M. A., Thomas, R., &amp; Ciccia, F. (2021). Inflammasome activation in ankylosing spondylitis is associated with gut dysbiosis. </w:t>
      </w:r>
      <w:r w:rsidDel="00000000" w:rsidR="00000000" w:rsidRPr="00000000">
        <w:rPr>
          <w:rFonts w:ascii="Times New Roman" w:cs="Times New Roman" w:eastAsia="Times New Roman" w:hAnsi="Times New Roman"/>
          <w:i w:val="1"/>
          <w:sz w:val="24"/>
          <w:szCs w:val="24"/>
          <w:rtl w:val="0"/>
        </w:rPr>
        <w:t xml:space="preserve">Arthritis &amp; Rheumatology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73</w:t>
      </w:r>
      <w:r w:rsidDel="00000000" w:rsidR="00000000" w:rsidRPr="00000000">
        <w:rPr>
          <w:rFonts w:ascii="Times New Roman" w:cs="Times New Roman" w:eastAsia="Times New Roman" w:hAnsi="Times New Roman"/>
          <w:sz w:val="24"/>
          <w:szCs w:val="24"/>
          <w:rtl w:val="0"/>
        </w:rPr>
        <w:t xml:space="preserve">(7), 1189–1199. </w:t>
      </w:r>
      <w:hyperlink r:id="rId22">
        <w:r w:rsidDel="00000000" w:rsidR="00000000" w:rsidRPr="00000000">
          <w:rPr>
            <w:rFonts w:ascii="Times New Roman" w:cs="Times New Roman" w:eastAsia="Times New Roman" w:hAnsi="Times New Roman"/>
            <w:color w:val="1155cc"/>
            <w:sz w:val="24"/>
            <w:szCs w:val="24"/>
            <w:u w:val="single"/>
            <w:rtl w:val="0"/>
          </w:rPr>
          <w:t xml:space="preserve">https://doi.org/10.1002/art.41644</w:t>
        </w:r>
      </w:hyperlink>
      <w:r w:rsidDel="00000000" w:rsidR="00000000" w:rsidRPr="00000000">
        <w:rPr>
          <w:rtl w:val="0"/>
        </w:rPr>
      </w:r>
    </w:p>
    <w:p w:rsidR="00000000" w:rsidDel="00000000" w:rsidP="00000000" w:rsidRDefault="00000000" w:rsidRPr="00000000" w14:paraId="00000485">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Huang, R., Li, F., Zhou, Y., Zeng, Z., He, X., Fang, L., Pan, F., Chen, Y., Lin, J., Li, J., Qiu, D., Tian, Y., Tan, X., Song, Y., Xu, Y., Lai, Y., Yi, H., Gao, Q., Fang, X., . . . He, Y. (2019). Metagenome-wide association study of the alterations in the intestinal microbiome composition of ankylosing spondylitis patients and the effect of traditional and herbal treatment. </w:t>
      </w:r>
      <w:r w:rsidDel="00000000" w:rsidR="00000000" w:rsidRPr="00000000">
        <w:rPr>
          <w:rFonts w:ascii="Times New Roman" w:cs="Times New Roman" w:eastAsia="Times New Roman" w:hAnsi="Times New Roman"/>
          <w:i w:val="1"/>
          <w:sz w:val="24"/>
          <w:szCs w:val="24"/>
          <w:rtl w:val="0"/>
        </w:rPr>
        <w:t xml:space="preserve">Journal of Medical Microbiology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69</w:t>
      </w:r>
      <w:r w:rsidDel="00000000" w:rsidR="00000000" w:rsidRPr="00000000">
        <w:rPr>
          <w:rFonts w:ascii="Times New Roman" w:cs="Times New Roman" w:eastAsia="Times New Roman" w:hAnsi="Times New Roman"/>
          <w:sz w:val="24"/>
          <w:szCs w:val="24"/>
          <w:rtl w:val="0"/>
        </w:rPr>
        <w:t xml:space="preserve">(6), 797–805. </w:t>
      </w:r>
      <w:hyperlink r:id="rId23">
        <w:r w:rsidDel="00000000" w:rsidR="00000000" w:rsidRPr="00000000">
          <w:rPr>
            <w:rFonts w:ascii="Times New Roman" w:cs="Times New Roman" w:eastAsia="Times New Roman" w:hAnsi="Times New Roman"/>
            <w:color w:val="1155cc"/>
            <w:sz w:val="24"/>
            <w:szCs w:val="24"/>
            <w:u w:val="single"/>
            <w:rtl w:val="0"/>
          </w:rPr>
          <w:t xml:space="preserve">https://doi.org/10.1099/jmm.0.001107</w:t>
        </w:r>
      </w:hyperlink>
      <w:r w:rsidDel="00000000" w:rsidR="00000000" w:rsidRPr="00000000">
        <w:rPr>
          <w:rtl w:val="0"/>
        </w:rPr>
      </w:r>
    </w:p>
    <w:p w:rsidR="00000000" w:rsidDel="00000000" w:rsidP="00000000" w:rsidRDefault="00000000" w:rsidRPr="00000000" w14:paraId="00000486">
      <w:pPr>
        <w:spacing w:after="0" w:line="259.20000000000005"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Hwang, M. C., Ridley, L., &amp; Reveille, J. D. (2021). Ankylosing spondylitis risk factors: a systematic literature review. </w:t>
      </w:r>
      <w:r w:rsidDel="00000000" w:rsidR="00000000" w:rsidRPr="00000000">
        <w:rPr>
          <w:rFonts w:ascii="Times New Roman" w:cs="Times New Roman" w:eastAsia="Times New Roman" w:hAnsi="Times New Roman"/>
          <w:i w:val="1"/>
          <w:sz w:val="24"/>
          <w:szCs w:val="24"/>
          <w:rtl w:val="0"/>
        </w:rPr>
        <w:t xml:space="preserve">Clinical Rheumatology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40</w:t>
      </w:r>
      <w:r w:rsidDel="00000000" w:rsidR="00000000" w:rsidRPr="00000000">
        <w:rPr>
          <w:rFonts w:ascii="Times New Roman" w:cs="Times New Roman" w:eastAsia="Times New Roman" w:hAnsi="Times New Roman"/>
          <w:sz w:val="24"/>
          <w:szCs w:val="24"/>
          <w:rtl w:val="0"/>
        </w:rPr>
        <w:t xml:space="preserve">(8), 3079–3093. </w:t>
      </w:r>
      <w:hyperlink r:id="rId24">
        <w:r w:rsidDel="00000000" w:rsidR="00000000" w:rsidRPr="00000000">
          <w:rPr>
            <w:rFonts w:ascii="Times New Roman" w:cs="Times New Roman" w:eastAsia="Times New Roman" w:hAnsi="Times New Roman"/>
            <w:color w:val="1155cc"/>
            <w:sz w:val="24"/>
            <w:szCs w:val="24"/>
            <w:u w:val="single"/>
            <w:rtl w:val="0"/>
          </w:rPr>
          <w:t xml:space="preserve">https://doi.org/10.1007/s10067-021-05679-7</w:t>
        </w:r>
      </w:hyperlink>
      <w:r w:rsidDel="00000000" w:rsidR="00000000" w:rsidRPr="00000000">
        <w:rPr>
          <w:rtl w:val="0"/>
        </w:rPr>
      </w:r>
    </w:p>
    <w:p w:rsidR="00000000" w:rsidDel="00000000" w:rsidP="00000000" w:rsidRDefault="00000000" w:rsidRPr="00000000" w14:paraId="00000487">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Klingberg, E., Magnusson, M. K., Strid, H., Deminger, A., Ståhl, A., Sundin, J., Simrén, M., Carlsten, H., Öhman, L., &amp; Forsblad-d’Elia, H. (2019). A distinct gut microbiota composition in patients with ankylosing spondylitis is associated with increased levels of fecal calprotectin. </w:t>
      </w:r>
      <w:r w:rsidDel="00000000" w:rsidR="00000000" w:rsidRPr="00000000">
        <w:rPr>
          <w:rFonts w:ascii="Times New Roman" w:cs="Times New Roman" w:eastAsia="Times New Roman" w:hAnsi="Times New Roman"/>
          <w:i w:val="1"/>
          <w:sz w:val="24"/>
          <w:szCs w:val="24"/>
          <w:rtl w:val="0"/>
        </w:rPr>
        <w:t xml:space="preserve">Arthritis Research &amp; Therapy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21</w:t>
      </w:r>
      <w:r w:rsidDel="00000000" w:rsidR="00000000" w:rsidRPr="00000000">
        <w:rPr>
          <w:rFonts w:ascii="Times New Roman" w:cs="Times New Roman" w:eastAsia="Times New Roman" w:hAnsi="Times New Roman"/>
          <w:sz w:val="24"/>
          <w:szCs w:val="24"/>
          <w:rtl w:val="0"/>
        </w:rPr>
        <w:t xml:space="preserve">(1). </w:t>
      </w:r>
      <w:hyperlink r:id="rId25">
        <w:r w:rsidDel="00000000" w:rsidR="00000000" w:rsidRPr="00000000">
          <w:rPr>
            <w:rFonts w:ascii="Times New Roman" w:cs="Times New Roman" w:eastAsia="Times New Roman" w:hAnsi="Times New Roman"/>
            <w:color w:val="1155cc"/>
            <w:sz w:val="24"/>
            <w:szCs w:val="24"/>
            <w:u w:val="single"/>
            <w:rtl w:val="0"/>
          </w:rPr>
          <w:t xml:space="preserve">https://doi.org/10.1186/s13075-019-2018-4</w:t>
        </w:r>
      </w:hyperlink>
      <w:r w:rsidDel="00000000" w:rsidR="00000000" w:rsidRPr="00000000">
        <w:rPr>
          <w:rtl w:val="0"/>
        </w:rPr>
      </w:r>
    </w:p>
    <w:p w:rsidR="00000000" w:rsidDel="00000000" w:rsidP="00000000" w:rsidRDefault="00000000" w:rsidRPr="00000000" w14:paraId="00000488">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Lai, Y., Tang, W., Luo, X., Zheng, H., Zhang, Y., Wang, M., Yu, G., &amp; Yang, M. (2024). Gut microbiome and metabolome to discover pathogenic bacteria and probiotics in ankylosing spondylitis. </w:t>
      </w:r>
      <w:r w:rsidDel="00000000" w:rsidR="00000000" w:rsidRPr="00000000">
        <w:rPr>
          <w:rFonts w:ascii="Times New Roman" w:cs="Times New Roman" w:eastAsia="Times New Roman" w:hAnsi="Times New Roman"/>
          <w:i w:val="1"/>
          <w:sz w:val="24"/>
          <w:szCs w:val="24"/>
          <w:rtl w:val="0"/>
        </w:rPr>
        <w:t xml:space="preserve">Frontiers in Immunology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15</w:t>
      </w:r>
      <w:r w:rsidDel="00000000" w:rsidR="00000000" w:rsidRPr="00000000">
        <w:rPr>
          <w:rFonts w:ascii="Times New Roman" w:cs="Times New Roman" w:eastAsia="Times New Roman" w:hAnsi="Times New Roman"/>
          <w:sz w:val="24"/>
          <w:szCs w:val="24"/>
          <w:rtl w:val="0"/>
        </w:rPr>
        <w:t xml:space="preserve">. </w:t>
      </w:r>
      <w:hyperlink r:id="rId26">
        <w:r w:rsidDel="00000000" w:rsidR="00000000" w:rsidRPr="00000000">
          <w:rPr>
            <w:rFonts w:ascii="Times New Roman" w:cs="Times New Roman" w:eastAsia="Times New Roman" w:hAnsi="Times New Roman"/>
            <w:color w:val="1155cc"/>
            <w:sz w:val="24"/>
            <w:szCs w:val="24"/>
            <w:u w:val="single"/>
            <w:rtl w:val="0"/>
          </w:rPr>
          <w:t xml:space="preserve">https://doi.org/10.3389/fimmu.2024.1369116</w:t>
        </w:r>
      </w:hyperlink>
      <w:r w:rsidDel="00000000" w:rsidR="00000000" w:rsidRPr="00000000">
        <w:rPr>
          <w:rtl w:val="0"/>
        </w:rPr>
      </w:r>
    </w:p>
    <w:p w:rsidR="00000000" w:rsidDel="00000000" w:rsidP="00000000" w:rsidRDefault="00000000" w:rsidRPr="00000000" w14:paraId="00000489">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 M., Dai, B., Tang, Y., Lei, L., Li, N., Liu, C., Ge, T., Zhang, L., Xu, Y., Hu, Y., Li, P., Zhang, Y., Yuan, J., &amp; Li, X. (2019). Altered Bacterial-Fungal interkingdom networks in the guts of ankylosing spondylitis patients. </w:t>
      </w:r>
      <w:r w:rsidDel="00000000" w:rsidR="00000000" w:rsidRPr="00000000">
        <w:rPr>
          <w:rFonts w:ascii="Times New Roman" w:cs="Times New Roman" w:eastAsia="Times New Roman" w:hAnsi="Times New Roman"/>
          <w:i w:val="1"/>
          <w:sz w:val="24"/>
          <w:szCs w:val="24"/>
          <w:rtl w:val="0"/>
        </w:rPr>
        <w:t xml:space="preserve">mSystems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(2). </w:t>
      </w:r>
      <w:hyperlink r:id="rId27">
        <w:r w:rsidDel="00000000" w:rsidR="00000000" w:rsidRPr="00000000">
          <w:rPr>
            <w:rFonts w:ascii="Times New Roman" w:cs="Times New Roman" w:eastAsia="Times New Roman" w:hAnsi="Times New Roman"/>
            <w:color w:val="1155cc"/>
            <w:sz w:val="24"/>
            <w:szCs w:val="24"/>
            <w:u w:val="single"/>
            <w:rtl w:val="0"/>
          </w:rPr>
          <w:t xml:space="preserve">https://doi.org/10.1128/msystems.00176-18</w:t>
        </w:r>
      </w:hyperlink>
      <w:r w:rsidDel="00000000" w:rsidR="00000000" w:rsidRPr="00000000">
        <w:rPr>
          <w:rtl w:val="0"/>
        </w:rPr>
      </w:r>
    </w:p>
    <w:p w:rsidR="00000000" w:rsidDel="00000000" w:rsidP="00000000" w:rsidRDefault="00000000" w:rsidRPr="00000000" w14:paraId="0000048A">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Liu, B., Ding, Z., Xiong, J., Heng, X., Wang, H., &amp; Chu, W. (2022). Gut Microbiota and Inflammatory Cytokine Changes in Patients with Ankylosing Spondylitis. </w:t>
      </w:r>
      <w:r w:rsidDel="00000000" w:rsidR="00000000" w:rsidRPr="00000000">
        <w:rPr>
          <w:rFonts w:ascii="Times New Roman" w:cs="Times New Roman" w:eastAsia="Times New Roman" w:hAnsi="Times New Roman"/>
          <w:i w:val="1"/>
          <w:sz w:val="24"/>
          <w:szCs w:val="24"/>
          <w:rtl w:val="0"/>
        </w:rPr>
        <w:t xml:space="preserve">BioMed Research International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2022</w:t>
      </w:r>
      <w:r w:rsidDel="00000000" w:rsidR="00000000" w:rsidRPr="00000000">
        <w:rPr>
          <w:rFonts w:ascii="Times New Roman" w:cs="Times New Roman" w:eastAsia="Times New Roman" w:hAnsi="Times New Roman"/>
          <w:sz w:val="24"/>
          <w:szCs w:val="24"/>
          <w:rtl w:val="0"/>
        </w:rPr>
        <w:t xml:space="preserve">, 1–6. </w:t>
      </w:r>
      <w:hyperlink r:id="rId28">
        <w:r w:rsidDel="00000000" w:rsidR="00000000" w:rsidRPr="00000000">
          <w:rPr>
            <w:rFonts w:ascii="Times New Roman" w:cs="Times New Roman" w:eastAsia="Times New Roman" w:hAnsi="Times New Roman"/>
            <w:color w:val="1155cc"/>
            <w:sz w:val="24"/>
            <w:szCs w:val="24"/>
            <w:u w:val="single"/>
            <w:rtl w:val="0"/>
          </w:rPr>
          <w:t xml:space="preserve">https://doi.org/10.1155/2022/1005111</w:t>
        </w:r>
      </w:hyperlink>
      <w:r w:rsidDel="00000000" w:rsidR="00000000" w:rsidRPr="00000000">
        <w:rPr>
          <w:rtl w:val="0"/>
        </w:rPr>
      </w:r>
    </w:p>
    <w:p w:rsidR="00000000" w:rsidDel="00000000" w:rsidP="00000000" w:rsidRDefault="00000000" w:rsidRPr="00000000" w14:paraId="0000048B">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Liu, G., Hao, Y., Yang, Q., &amp; Deng, S. (2020). The Association of Fecal Microbiota in Ankylosing Spondylitis Cases with C-Reactive Protein and Erythrocyte Sedimentation Rate. </w:t>
      </w:r>
      <w:r w:rsidDel="00000000" w:rsidR="00000000" w:rsidRPr="00000000">
        <w:rPr>
          <w:rFonts w:ascii="Times New Roman" w:cs="Times New Roman" w:eastAsia="Times New Roman" w:hAnsi="Times New Roman"/>
          <w:i w:val="1"/>
          <w:sz w:val="24"/>
          <w:szCs w:val="24"/>
          <w:rtl w:val="0"/>
        </w:rPr>
        <w:t xml:space="preserve">Mediators of Inflammation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2020</w:t>
      </w:r>
      <w:r w:rsidDel="00000000" w:rsidR="00000000" w:rsidRPr="00000000">
        <w:rPr>
          <w:rFonts w:ascii="Times New Roman" w:cs="Times New Roman" w:eastAsia="Times New Roman" w:hAnsi="Times New Roman"/>
          <w:sz w:val="24"/>
          <w:szCs w:val="24"/>
          <w:rtl w:val="0"/>
        </w:rPr>
        <w:t xml:space="preserve">, 1–8. </w:t>
      </w:r>
      <w:hyperlink r:id="rId29">
        <w:r w:rsidDel="00000000" w:rsidR="00000000" w:rsidRPr="00000000">
          <w:rPr>
            <w:rFonts w:ascii="Times New Roman" w:cs="Times New Roman" w:eastAsia="Times New Roman" w:hAnsi="Times New Roman"/>
            <w:color w:val="1155cc"/>
            <w:sz w:val="24"/>
            <w:szCs w:val="24"/>
            <w:u w:val="single"/>
            <w:rtl w:val="0"/>
          </w:rPr>
          <w:t xml:space="preserve">https://doi.org/10.1155/2020/8884324</w:t>
        </w:r>
      </w:hyperlink>
      <w:r w:rsidDel="00000000" w:rsidR="00000000" w:rsidRPr="00000000">
        <w:rPr>
          <w:rtl w:val="0"/>
        </w:rPr>
      </w:r>
    </w:p>
    <w:p w:rsidR="00000000" w:rsidDel="00000000" w:rsidP="00000000" w:rsidRDefault="00000000" w:rsidRPr="00000000" w14:paraId="0000048C">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Manasson, J., Wallach, D. S., Guggino, G., Stapylton, M., Badri, M. H., Solomon, G., Reddy, S. M., Coras, R., Aksenov, A. A., Jones, D. R., Girija, P. V., Neimann, A. L., Heguy, A., Segal, L. N., Dorrestein, P. C., Bonneau, R., Guma, M., Ciccia, F., Ubeda, C., . . . Scher, J. U. (2019). Interleukin‐17 inhibition in spondyloarthritis is associated with subclinical gut microbiome perturbations and a distinctive Interleukin‐25–Driven intestinal inflammation. </w:t>
      </w:r>
      <w:r w:rsidDel="00000000" w:rsidR="00000000" w:rsidRPr="00000000">
        <w:rPr>
          <w:rFonts w:ascii="Times New Roman" w:cs="Times New Roman" w:eastAsia="Times New Roman" w:hAnsi="Times New Roman"/>
          <w:i w:val="1"/>
          <w:sz w:val="24"/>
          <w:szCs w:val="24"/>
          <w:rtl w:val="0"/>
        </w:rPr>
        <w:t xml:space="preserve">Arthritis &amp; Rheumatology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72</w:t>
      </w:r>
      <w:r w:rsidDel="00000000" w:rsidR="00000000" w:rsidRPr="00000000">
        <w:rPr>
          <w:rFonts w:ascii="Times New Roman" w:cs="Times New Roman" w:eastAsia="Times New Roman" w:hAnsi="Times New Roman"/>
          <w:sz w:val="24"/>
          <w:szCs w:val="24"/>
          <w:rtl w:val="0"/>
        </w:rPr>
        <w:t xml:space="preserve">(4), 645–657. </w:t>
      </w:r>
      <w:hyperlink r:id="rId30">
        <w:r w:rsidDel="00000000" w:rsidR="00000000" w:rsidRPr="00000000">
          <w:rPr>
            <w:rFonts w:ascii="Times New Roman" w:cs="Times New Roman" w:eastAsia="Times New Roman" w:hAnsi="Times New Roman"/>
            <w:color w:val="1155cc"/>
            <w:sz w:val="24"/>
            <w:szCs w:val="24"/>
            <w:u w:val="single"/>
            <w:rtl w:val="0"/>
          </w:rPr>
          <w:t xml:space="preserve">https://doi.org/10.1002/art.41169</w:t>
        </w:r>
      </w:hyperlink>
      <w:r w:rsidDel="00000000" w:rsidR="00000000" w:rsidRPr="00000000">
        <w:rPr>
          <w:rtl w:val="0"/>
        </w:rPr>
      </w:r>
    </w:p>
    <w:p w:rsidR="00000000" w:rsidDel="00000000" w:rsidP="00000000" w:rsidRDefault="00000000" w:rsidRPr="00000000" w14:paraId="0000048D">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Blanco, J. M., Borghese, F., McHugh, N., Kelleher, P., Sengupta, R., Marchesi, J. R., &amp; Abraham, S. (2020). Longitudinal profiling of the gut microbiome in patients with psoriatic arthritis and ankylosing spondylitis: a multicentre, prospective, observational study. </w:t>
      </w:r>
      <w:r w:rsidDel="00000000" w:rsidR="00000000" w:rsidRPr="00000000">
        <w:rPr>
          <w:rFonts w:ascii="Times New Roman" w:cs="Times New Roman" w:eastAsia="Times New Roman" w:hAnsi="Times New Roman"/>
          <w:i w:val="1"/>
          <w:sz w:val="24"/>
          <w:szCs w:val="24"/>
          <w:rtl w:val="0"/>
        </w:rPr>
        <w:t xml:space="preserve">BMC Rheumatology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(1). </w:t>
      </w:r>
      <w:hyperlink r:id="rId31">
        <w:r w:rsidDel="00000000" w:rsidR="00000000" w:rsidRPr="00000000">
          <w:rPr>
            <w:rFonts w:ascii="Times New Roman" w:cs="Times New Roman" w:eastAsia="Times New Roman" w:hAnsi="Times New Roman"/>
            <w:color w:val="1155cc"/>
            <w:sz w:val="24"/>
            <w:szCs w:val="24"/>
            <w:u w:val="single"/>
            <w:rtl w:val="0"/>
          </w:rPr>
          <w:t xml:space="preserve">https://doi.org/10.1186/s41927-020-00155-2</w:t>
        </w:r>
      </w:hyperlink>
      <w:r w:rsidDel="00000000" w:rsidR="00000000" w:rsidRPr="00000000">
        <w:rPr>
          <w:rtl w:val="0"/>
        </w:rPr>
      </w:r>
    </w:p>
    <w:p w:rsidR="00000000" w:rsidDel="00000000" w:rsidP="00000000" w:rsidRDefault="00000000" w:rsidRPr="00000000" w14:paraId="0000048E">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 H. K., Na, H. S., Jhun, J., Lee, S., Choi, S. S., Park, G. E., Lee, J. S., Um, I. G., Lee, S. Y., Seo, H., Shin, T., Kim, Y., Lee, J. J., Kwok, S., Cho, M., &amp; Park, S. (2023). Identification of gut dysbiosis in axial spondyloarthritis patients and improvement of experimental ankylosing spondyloarthritis by microbiome-derived butyrate with immune-modulating function. </w:t>
      </w:r>
      <w:r w:rsidDel="00000000" w:rsidR="00000000" w:rsidRPr="00000000">
        <w:rPr>
          <w:rFonts w:ascii="Times New Roman" w:cs="Times New Roman" w:eastAsia="Times New Roman" w:hAnsi="Times New Roman"/>
          <w:i w:val="1"/>
          <w:sz w:val="24"/>
          <w:szCs w:val="24"/>
          <w:rtl w:val="0"/>
        </w:rPr>
        <w:t xml:space="preserve">Frontiers in Immunology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14</w:t>
      </w:r>
      <w:r w:rsidDel="00000000" w:rsidR="00000000" w:rsidRPr="00000000">
        <w:rPr>
          <w:rFonts w:ascii="Times New Roman" w:cs="Times New Roman" w:eastAsia="Times New Roman" w:hAnsi="Times New Roman"/>
          <w:sz w:val="24"/>
          <w:szCs w:val="24"/>
          <w:rtl w:val="0"/>
        </w:rPr>
        <w:t xml:space="preserve">. </w:t>
      </w:r>
      <w:hyperlink r:id="rId32">
        <w:r w:rsidDel="00000000" w:rsidR="00000000" w:rsidRPr="00000000">
          <w:rPr>
            <w:rFonts w:ascii="Times New Roman" w:cs="Times New Roman" w:eastAsia="Times New Roman" w:hAnsi="Times New Roman"/>
            <w:color w:val="1155cc"/>
            <w:sz w:val="24"/>
            <w:szCs w:val="24"/>
            <w:u w:val="single"/>
            <w:rtl w:val="0"/>
          </w:rPr>
          <w:t xml:space="preserve">https://doi.org/10.3389/fimmu.2023.1096565</w:t>
        </w:r>
      </w:hyperlink>
      <w:r w:rsidDel="00000000" w:rsidR="00000000" w:rsidRPr="00000000">
        <w:rPr>
          <w:rtl w:val="0"/>
        </w:rPr>
      </w:r>
    </w:p>
    <w:p w:rsidR="00000000" w:rsidDel="00000000" w:rsidP="00000000" w:rsidRDefault="00000000" w:rsidRPr="00000000" w14:paraId="0000048F">
      <w:pPr>
        <w:spacing w:after="0" w:line="259.20000000000005"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Rudwaleit, M., Van Der Heijde, D., Landewe, R., Akkoc, N., Brandt, J., Chou, C. T., Dougados, M., Huang, F., Gu, J., Kirazli, Y., Van Den Bosch, F., Olivieri, I., Roussou, E., Scarpato, S., Sorensen, I. J., Valle-Onate, R., Weber, U., Wei, J., &amp; Sieper, J. (2010b). The Assessment of SpondyloArthritis international Society classification criteria for peripheral spondyloarthritis and for spondyloarthritis in general. </w:t>
      </w:r>
      <w:r w:rsidDel="00000000" w:rsidR="00000000" w:rsidRPr="00000000">
        <w:rPr>
          <w:rFonts w:ascii="Times New Roman" w:cs="Times New Roman" w:eastAsia="Times New Roman" w:hAnsi="Times New Roman"/>
          <w:i w:val="1"/>
          <w:sz w:val="24"/>
          <w:szCs w:val="24"/>
          <w:rtl w:val="0"/>
        </w:rPr>
        <w:t xml:space="preserve">Annals of the Rheumatic Diseases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70</w:t>
      </w:r>
      <w:r w:rsidDel="00000000" w:rsidR="00000000" w:rsidRPr="00000000">
        <w:rPr>
          <w:rFonts w:ascii="Times New Roman" w:cs="Times New Roman" w:eastAsia="Times New Roman" w:hAnsi="Times New Roman"/>
          <w:sz w:val="24"/>
          <w:szCs w:val="24"/>
          <w:rtl w:val="0"/>
        </w:rPr>
        <w:t xml:space="preserve">(1), 25–31. </w:t>
      </w:r>
      <w:hyperlink r:id="rId33">
        <w:r w:rsidDel="00000000" w:rsidR="00000000" w:rsidRPr="00000000">
          <w:rPr>
            <w:rFonts w:ascii="Times New Roman" w:cs="Times New Roman" w:eastAsia="Times New Roman" w:hAnsi="Times New Roman"/>
            <w:color w:val="1155cc"/>
            <w:sz w:val="24"/>
            <w:szCs w:val="24"/>
            <w:u w:val="single"/>
            <w:rtl w:val="0"/>
          </w:rPr>
          <w:t xml:space="preserve">https://doi.org/10.1136/ard.2010.133645</w:t>
        </w:r>
      </w:hyperlink>
      <w:r w:rsidDel="00000000" w:rsidR="00000000" w:rsidRPr="00000000">
        <w:rPr>
          <w:rtl w:val="0"/>
        </w:rPr>
      </w:r>
    </w:p>
    <w:p w:rsidR="00000000" w:rsidDel="00000000" w:rsidP="00000000" w:rsidRDefault="00000000" w:rsidRPr="00000000" w14:paraId="00000490">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Sagard, J., Olofsson, T., Mogard, E., Marsal, J., Andréasson, K., Geijer, M., Kristensen, L. E., Lindqvist, E., &amp; Wallman, J. K. (2022). Gut dysbiosis associated with worse disease activity and physical function in axial spondyloarthritis. </w:t>
      </w:r>
      <w:r w:rsidDel="00000000" w:rsidR="00000000" w:rsidRPr="00000000">
        <w:rPr>
          <w:rFonts w:ascii="Times New Roman" w:cs="Times New Roman" w:eastAsia="Times New Roman" w:hAnsi="Times New Roman"/>
          <w:i w:val="1"/>
          <w:sz w:val="24"/>
          <w:szCs w:val="24"/>
          <w:rtl w:val="0"/>
        </w:rPr>
        <w:t xml:space="preserve">Arthritis Research &amp; Therapy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24</w:t>
      </w:r>
      <w:r w:rsidDel="00000000" w:rsidR="00000000" w:rsidRPr="00000000">
        <w:rPr>
          <w:rFonts w:ascii="Times New Roman" w:cs="Times New Roman" w:eastAsia="Times New Roman" w:hAnsi="Times New Roman"/>
          <w:sz w:val="24"/>
          <w:szCs w:val="24"/>
          <w:rtl w:val="0"/>
        </w:rPr>
        <w:t xml:space="preserve">(1). </w:t>
      </w:r>
      <w:hyperlink r:id="rId34">
        <w:r w:rsidDel="00000000" w:rsidR="00000000" w:rsidRPr="00000000">
          <w:rPr>
            <w:rFonts w:ascii="Times New Roman" w:cs="Times New Roman" w:eastAsia="Times New Roman" w:hAnsi="Times New Roman"/>
            <w:color w:val="1155cc"/>
            <w:sz w:val="24"/>
            <w:szCs w:val="24"/>
            <w:u w:val="single"/>
            <w:rtl w:val="0"/>
          </w:rPr>
          <w:t xml:space="preserve">https://doi.org/10.1186/s13075-022-02733-w</w:t>
        </w:r>
      </w:hyperlink>
      <w:r w:rsidDel="00000000" w:rsidR="00000000" w:rsidRPr="00000000">
        <w:rPr>
          <w:rtl w:val="0"/>
        </w:rPr>
      </w:r>
    </w:p>
    <w:p w:rsidR="00000000" w:rsidDel="00000000" w:rsidP="00000000" w:rsidRDefault="00000000" w:rsidRPr="00000000" w14:paraId="00000491">
      <w:pPr>
        <w:spacing w:after="0" w:line="259.20000000000005"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Scalise, G., Ciancio, A., Mauro, D., &amp; Ciccia, F. (2021). Intestinal microbial metabolites in ankylosing spondylitis. </w:t>
      </w:r>
      <w:r w:rsidDel="00000000" w:rsidR="00000000" w:rsidRPr="00000000">
        <w:rPr>
          <w:rFonts w:ascii="Times New Roman" w:cs="Times New Roman" w:eastAsia="Times New Roman" w:hAnsi="Times New Roman"/>
          <w:i w:val="1"/>
          <w:sz w:val="24"/>
          <w:szCs w:val="24"/>
          <w:rtl w:val="0"/>
        </w:rPr>
        <w:t xml:space="preserve">Journal of Clinical Medicine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10</w:t>
      </w:r>
      <w:r w:rsidDel="00000000" w:rsidR="00000000" w:rsidRPr="00000000">
        <w:rPr>
          <w:rFonts w:ascii="Times New Roman" w:cs="Times New Roman" w:eastAsia="Times New Roman" w:hAnsi="Times New Roman"/>
          <w:sz w:val="24"/>
          <w:szCs w:val="24"/>
          <w:rtl w:val="0"/>
        </w:rPr>
        <w:t xml:space="preserve">(15), 3354. </w:t>
      </w:r>
      <w:hyperlink r:id="rId35">
        <w:r w:rsidDel="00000000" w:rsidR="00000000" w:rsidRPr="00000000">
          <w:rPr>
            <w:rFonts w:ascii="Times New Roman" w:cs="Times New Roman" w:eastAsia="Times New Roman" w:hAnsi="Times New Roman"/>
            <w:color w:val="1155cc"/>
            <w:sz w:val="24"/>
            <w:szCs w:val="24"/>
            <w:u w:val="single"/>
            <w:rtl w:val="0"/>
          </w:rPr>
          <w:t xml:space="preserve">https://doi.org/10.3390/jcm10153354</w:t>
        </w:r>
      </w:hyperlink>
      <w:r w:rsidDel="00000000" w:rsidR="00000000" w:rsidRPr="00000000">
        <w:rPr>
          <w:rtl w:val="0"/>
        </w:rPr>
      </w:r>
    </w:p>
    <w:p w:rsidR="00000000" w:rsidDel="00000000" w:rsidP="00000000" w:rsidRDefault="00000000" w:rsidRPr="00000000" w14:paraId="00000492">
      <w:pPr>
        <w:spacing w:after="0" w:line="259.20000000000005"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Sekirov, I., Russell, S. L., Antunes, L. C. M., &amp; Finlay, B. B. (2010). Gut microbiota in health and disease. </w:t>
      </w:r>
      <w:r w:rsidDel="00000000" w:rsidR="00000000" w:rsidRPr="00000000">
        <w:rPr>
          <w:rFonts w:ascii="Times New Roman" w:cs="Times New Roman" w:eastAsia="Times New Roman" w:hAnsi="Times New Roman"/>
          <w:i w:val="1"/>
          <w:sz w:val="24"/>
          <w:szCs w:val="24"/>
          <w:rtl w:val="0"/>
        </w:rPr>
        <w:t xml:space="preserve">Physiological Reviews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90</w:t>
      </w:r>
      <w:r w:rsidDel="00000000" w:rsidR="00000000" w:rsidRPr="00000000">
        <w:rPr>
          <w:rFonts w:ascii="Times New Roman" w:cs="Times New Roman" w:eastAsia="Times New Roman" w:hAnsi="Times New Roman"/>
          <w:sz w:val="24"/>
          <w:szCs w:val="24"/>
          <w:rtl w:val="0"/>
        </w:rPr>
        <w:t xml:space="preserve">(3), 859–904. </w:t>
      </w:r>
      <w:hyperlink r:id="rId36">
        <w:r w:rsidDel="00000000" w:rsidR="00000000" w:rsidRPr="00000000">
          <w:rPr>
            <w:rFonts w:ascii="Times New Roman" w:cs="Times New Roman" w:eastAsia="Times New Roman" w:hAnsi="Times New Roman"/>
            <w:color w:val="1155cc"/>
            <w:sz w:val="24"/>
            <w:szCs w:val="24"/>
            <w:u w:val="single"/>
            <w:rtl w:val="0"/>
          </w:rPr>
          <w:t xml:space="preserve">https://doi.org/10.1152/physrev.00045.2009</w:t>
        </w:r>
      </w:hyperlink>
      <w:r w:rsidDel="00000000" w:rsidR="00000000" w:rsidRPr="00000000">
        <w:rPr>
          <w:rtl w:val="0"/>
        </w:rPr>
      </w:r>
    </w:p>
    <w:p w:rsidR="00000000" w:rsidDel="00000000" w:rsidP="00000000" w:rsidRDefault="00000000" w:rsidRPr="00000000" w14:paraId="00000493">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Sternes, P. R., Brett, L., Phipps, J., Ciccia, F., Kenna, T., De Guzman, E., Zimmermann, K., Morrison, M., Holtmann, G., Klingberg, E., Mauro, D., McIvor, C., Forsblad-d’Elia, H., &amp; Brown, M. A. (2022). Distinctive gut microbiomes of ankylosing spondylitis and inflammatory bowel disease patients suggest differing roles in pathogenesis and correlate with disease activity. </w:t>
      </w:r>
      <w:r w:rsidDel="00000000" w:rsidR="00000000" w:rsidRPr="00000000">
        <w:rPr>
          <w:rFonts w:ascii="Times New Roman" w:cs="Times New Roman" w:eastAsia="Times New Roman" w:hAnsi="Times New Roman"/>
          <w:i w:val="1"/>
          <w:sz w:val="24"/>
          <w:szCs w:val="24"/>
          <w:rtl w:val="0"/>
        </w:rPr>
        <w:t xml:space="preserve">Arthritis Research &amp; Therapy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24</w:t>
      </w:r>
      <w:r w:rsidDel="00000000" w:rsidR="00000000" w:rsidRPr="00000000">
        <w:rPr>
          <w:rFonts w:ascii="Times New Roman" w:cs="Times New Roman" w:eastAsia="Times New Roman" w:hAnsi="Times New Roman"/>
          <w:sz w:val="24"/>
          <w:szCs w:val="24"/>
          <w:rtl w:val="0"/>
        </w:rPr>
        <w:t xml:space="preserve">(1). </w:t>
      </w:r>
      <w:hyperlink r:id="rId37">
        <w:r w:rsidDel="00000000" w:rsidR="00000000" w:rsidRPr="00000000">
          <w:rPr>
            <w:rFonts w:ascii="Times New Roman" w:cs="Times New Roman" w:eastAsia="Times New Roman" w:hAnsi="Times New Roman"/>
            <w:color w:val="1155cc"/>
            <w:sz w:val="24"/>
            <w:szCs w:val="24"/>
            <w:u w:val="single"/>
            <w:rtl w:val="0"/>
          </w:rPr>
          <w:t xml:space="preserve">https://doi.org/10.1186/s13075-022-02853-3</w:t>
        </w:r>
      </w:hyperlink>
      <w:r w:rsidDel="00000000" w:rsidR="00000000" w:rsidRPr="00000000">
        <w:rPr>
          <w:rtl w:val="0"/>
        </w:rPr>
      </w:r>
    </w:p>
    <w:p w:rsidR="00000000" w:rsidDel="00000000" w:rsidP="00000000" w:rsidRDefault="00000000" w:rsidRPr="00000000" w14:paraId="00000494">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Stoll, M., DeQuattro, K., Li, Z., Sawhney, H., Weiss, P., Nigrovic, P., Wright, T., Schikler, K., Edelheit, B., Morrow, C., Reveille, J., Brown, M., &amp; Gensler, L. (2022). Impact of HLA-B27 and disease status on the gut microbiome of the offspring of ankylosing spondylitis patients. </w:t>
      </w:r>
      <w:r w:rsidDel="00000000" w:rsidR="00000000" w:rsidRPr="00000000">
        <w:rPr>
          <w:rFonts w:ascii="Times New Roman" w:cs="Times New Roman" w:eastAsia="Times New Roman" w:hAnsi="Times New Roman"/>
          <w:i w:val="1"/>
          <w:sz w:val="24"/>
          <w:szCs w:val="24"/>
          <w:rtl w:val="0"/>
        </w:rPr>
        <w:t xml:space="preserve">Children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9</w:t>
      </w:r>
      <w:r w:rsidDel="00000000" w:rsidR="00000000" w:rsidRPr="00000000">
        <w:rPr>
          <w:rFonts w:ascii="Times New Roman" w:cs="Times New Roman" w:eastAsia="Times New Roman" w:hAnsi="Times New Roman"/>
          <w:sz w:val="24"/>
          <w:szCs w:val="24"/>
          <w:rtl w:val="0"/>
        </w:rPr>
        <w:t xml:space="preserve">(4), 569. </w:t>
      </w:r>
      <w:hyperlink r:id="rId38">
        <w:r w:rsidDel="00000000" w:rsidR="00000000" w:rsidRPr="00000000">
          <w:rPr>
            <w:rFonts w:ascii="Times New Roman" w:cs="Times New Roman" w:eastAsia="Times New Roman" w:hAnsi="Times New Roman"/>
            <w:color w:val="1155cc"/>
            <w:sz w:val="24"/>
            <w:szCs w:val="24"/>
            <w:u w:val="single"/>
            <w:rtl w:val="0"/>
          </w:rPr>
          <w:t xml:space="preserve">https://doi.org/10.3390/children9040569</w:t>
        </w:r>
      </w:hyperlink>
      <w:r w:rsidDel="00000000" w:rsidR="00000000" w:rsidRPr="00000000">
        <w:rPr>
          <w:rtl w:val="0"/>
        </w:rPr>
      </w:r>
    </w:p>
    <w:p w:rsidR="00000000" w:rsidDel="00000000" w:rsidP="00000000" w:rsidRDefault="00000000" w:rsidRPr="00000000" w14:paraId="00000495">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Sun, C., Chao, Y., Xu, H., Yang, X., Pei, L., Xu, G., Wang, F., Fan, X., Tang, L., Xie, C., Su, Y., &amp; Wang, X. (2024). Combined analysis of metabolomics and 16S rRNA sequencing for ankylosing spondylitis patients before and after secukinumab therapy. </w:t>
      </w:r>
      <w:r w:rsidDel="00000000" w:rsidR="00000000" w:rsidRPr="00000000">
        <w:rPr>
          <w:rFonts w:ascii="Times New Roman" w:cs="Times New Roman" w:eastAsia="Times New Roman" w:hAnsi="Times New Roman"/>
          <w:i w:val="1"/>
          <w:sz w:val="24"/>
          <w:szCs w:val="24"/>
          <w:rtl w:val="0"/>
        </w:rPr>
        <w:t xml:space="preserve">International Journal of Rheumatic Diseases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27</w:t>
      </w:r>
      <w:r w:rsidDel="00000000" w:rsidR="00000000" w:rsidRPr="00000000">
        <w:rPr>
          <w:rFonts w:ascii="Times New Roman" w:cs="Times New Roman" w:eastAsia="Times New Roman" w:hAnsi="Times New Roman"/>
          <w:sz w:val="24"/>
          <w:szCs w:val="24"/>
          <w:rtl w:val="0"/>
        </w:rPr>
        <w:t xml:space="preserve">(6). </w:t>
      </w:r>
      <w:hyperlink r:id="rId39">
        <w:r w:rsidDel="00000000" w:rsidR="00000000" w:rsidRPr="00000000">
          <w:rPr>
            <w:rFonts w:ascii="Times New Roman" w:cs="Times New Roman" w:eastAsia="Times New Roman" w:hAnsi="Times New Roman"/>
            <w:color w:val="1155cc"/>
            <w:sz w:val="24"/>
            <w:szCs w:val="24"/>
            <w:u w:val="single"/>
            <w:rtl w:val="0"/>
          </w:rPr>
          <w:t xml:space="preserve">https://doi.org/10.1111/1756-185x.15218</w:t>
        </w:r>
      </w:hyperlink>
      <w:r w:rsidDel="00000000" w:rsidR="00000000" w:rsidRPr="00000000">
        <w:rPr>
          <w:rtl w:val="0"/>
        </w:rPr>
      </w:r>
    </w:p>
    <w:p w:rsidR="00000000" w:rsidDel="00000000" w:rsidP="00000000" w:rsidRDefault="00000000" w:rsidRPr="00000000" w14:paraId="00000496">
      <w:pPr>
        <w:spacing w:after="0" w:line="259.20000000000005"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Taurog, J. D., Chhabra, A., &amp; Colbert, R. A. (2016). Ankylosing spondylitis and axial spondyloarthritis. </w:t>
      </w:r>
      <w:r w:rsidDel="00000000" w:rsidR="00000000" w:rsidRPr="00000000">
        <w:rPr>
          <w:rFonts w:ascii="Times New Roman" w:cs="Times New Roman" w:eastAsia="Times New Roman" w:hAnsi="Times New Roman"/>
          <w:i w:val="1"/>
          <w:sz w:val="24"/>
          <w:szCs w:val="24"/>
          <w:rtl w:val="0"/>
        </w:rPr>
        <w:t xml:space="preserve">New England Journal of Medicine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374</w:t>
      </w:r>
      <w:r w:rsidDel="00000000" w:rsidR="00000000" w:rsidRPr="00000000">
        <w:rPr>
          <w:rFonts w:ascii="Times New Roman" w:cs="Times New Roman" w:eastAsia="Times New Roman" w:hAnsi="Times New Roman"/>
          <w:sz w:val="24"/>
          <w:szCs w:val="24"/>
          <w:rtl w:val="0"/>
        </w:rPr>
        <w:t xml:space="preserve">(26), 2563–2574. </w:t>
      </w:r>
      <w:hyperlink r:id="rId40">
        <w:r w:rsidDel="00000000" w:rsidR="00000000" w:rsidRPr="00000000">
          <w:rPr>
            <w:rFonts w:ascii="Times New Roman" w:cs="Times New Roman" w:eastAsia="Times New Roman" w:hAnsi="Times New Roman"/>
            <w:color w:val="1155cc"/>
            <w:sz w:val="24"/>
            <w:szCs w:val="24"/>
            <w:u w:val="single"/>
            <w:rtl w:val="0"/>
          </w:rPr>
          <w:t xml:space="preserve">https://doi.org/10.1056/nejmra1406182</w:t>
        </w:r>
      </w:hyperlink>
      <w:r w:rsidDel="00000000" w:rsidR="00000000" w:rsidRPr="00000000">
        <w:rPr>
          <w:rtl w:val="0"/>
        </w:rPr>
      </w:r>
    </w:p>
    <w:p w:rsidR="00000000" w:rsidDel="00000000" w:rsidP="00000000" w:rsidRDefault="00000000" w:rsidRPr="00000000" w14:paraId="00000497">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Tito, R. Y., Cypers, H., Joossens, M., Varkas, G., Van Praet, L., Glorieus, E., Van Den Bosch, F., De Vos, M., Raes, J., &amp; Elewaut, D. (2016). Brief Report: Dialister as a microbial marker of disease activity in spondyloarthritis. </w:t>
      </w:r>
      <w:r w:rsidDel="00000000" w:rsidR="00000000" w:rsidRPr="00000000">
        <w:rPr>
          <w:rFonts w:ascii="Times New Roman" w:cs="Times New Roman" w:eastAsia="Times New Roman" w:hAnsi="Times New Roman"/>
          <w:i w:val="1"/>
          <w:sz w:val="24"/>
          <w:szCs w:val="24"/>
          <w:rtl w:val="0"/>
        </w:rPr>
        <w:t xml:space="preserve">Arthritis &amp; Rheumatology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69</w:t>
      </w:r>
      <w:r w:rsidDel="00000000" w:rsidR="00000000" w:rsidRPr="00000000">
        <w:rPr>
          <w:rFonts w:ascii="Times New Roman" w:cs="Times New Roman" w:eastAsia="Times New Roman" w:hAnsi="Times New Roman"/>
          <w:sz w:val="24"/>
          <w:szCs w:val="24"/>
          <w:rtl w:val="0"/>
        </w:rPr>
        <w:t xml:space="preserve">(1), 114–121. </w:t>
      </w:r>
      <w:hyperlink r:id="rId41">
        <w:r w:rsidDel="00000000" w:rsidR="00000000" w:rsidRPr="00000000">
          <w:rPr>
            <w:rFonts w:ascii="Times New Roman" w:cs="Times New Roman" w:eastAsia="Times New Roman" w:hAnsi="Times New Roman"/>
            <w:color w:val="1155cc"/>
            <w:sz w:val="24"/>
            <w:szCs w:val="24"/>
            <w:u w:val="single"/>
            <w:rtl w:val="0"/>
          </w:rPr>
          <w:t xml:space="preserve">https://doi.org/10.1002/art.39802</w:t>
        </w:r>
      </w:hyperlink>
      <w:r w:rsidDel="00000000" w:rsidR="00000000" w:rsidRPr="00000000">
        <w:rPr>
          <w:rtl w:val="0"/>
        </w:rPr>
      </w:r>
    </w:p>
    <w:p w:rsidR="00000000" w:rsidDel="00000000" w:rsidP="00000000" w:rsidRDefault="00000000" w:rsidRPr="00000000" w14:paraId="00000498">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Vallier, M., Segurens, B., Larsonneur, E., Meyer, V., Ferreira, S., Caloustian, C., Deleuze, J., Dougados, M., Chamaillard, M., &amp; Miceli-Richard, C. (2023). Characterisation of gut microbiota composition in patients with axial spondyloarthritis and its modulation by TNF inhibitor treatment. </w:t>
      </w:r>
      <w:r w:rsidDel="00000000" w:rsidR="00000000" w:rsidRPr="00000000">
        <w:rPr>
          <w:rFonts w:ascii="Times New Roman" w:cs="Times New Roman" w:eastAsia="Times New Roman" w:hAnsi="Times New Roman"/>
          <w:i w:val="1"/>
          <w:sz w:val="24"/>
          <w:szCs w:val="24"/>
          <w:rtl w:val="0"/>
        </w:rPr>
        <w:t xml:space="preserve">RMD Open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9</w:t>
      </w:r>
      <w:r w:rsidDel="00000000" w:rsidR="00000000" w:rsidRPr="00000000">
        <w:rPr>
          <w:rFonts w:ascii="Times New Roman" w:cs="Times New Roman" w:eastAsia="Times New Roman" w:hAnsi="Times New Roman"/>
          <w:sz w:val="24"/>
          <w:szCs w:val="24"/>
          <w:rtl w:val="0"/>
        </w:rPr>
        <w:t xml:space="preserve">(1), e002794. </w:t>
      </w:r>
      <w:hyperlink r:id="rId42">
        <w:r w:rsidDel="00000000" w:rsidR="00000000" w:rsidRPr="00000000">
          <w:rPr>
            <w:rFonts w:ascii="Times New Roman" w:cs="Times New Roman" w:eastAsia="Times New Roman" w:hAnsi="Times New Roman"/>
            <w:color w:val="1155cc"/>
            <w:sz w:val="24"/>
            <w:szCs w:val="24"/>
            <w:u w:val="single"/>
            <w:rtl w:val="0"/>
          </w:rPr>
          <w:t xml:space="preserve">https://doi.org/10.1136/rmdopen-2022-002794</w:t>
        </w:r>
      </w:hyperlink>
      <w:r w:rsidDel="00000000" w:rsidR="00000000" w:rsidRPr="00000000">
        <w:rPr>
          <w:rtl w:val="0"/>
        </w:rPr>
      </w:r>
    </w:p>
    <w:p w:rsidR="00000000" w:rsidDel="00000000" w:rsidP="00000000" w:rsidRDefault="00000000" w:rsidRPr="00000000" w14:paraId="00000499">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Wen, C., Zheng, Z., Shao, T., Liu, L., Xie, Z., Chatelier, E. L., He, Z., Zhong, W., Fan, Y., Zhang, L., Li, H., Wu, C., Hu, C., Xu, Q., Zhou, J., Cai, S., Wang, D., Huang, Y., Breban, M., . . . Ehrlich, S. D. (2017). Quantitative metagenomics reveals unique gut microbiome biomarkers in ankylosing spondylitis. </w:t>
      </w:r>
      <w:r w:rsidDel="00000000" w:rsidR="00000000" w:rsidRPr="00000000">
        <w:rPr>
          <w:rFonts w:ascii="Times New Roman" w:cs="Times New Roman" w:eastAsia="Times New Roman" w:hAnsi="Times New Roman"/>
          <w:i w:val="1"/>
          <w:sz w:val="24"/>
          <w:szCs w:val="24"/>
          <w:rtl w:val="0"/>
        </w:rPr>
        <w:t xml:space="preserve">Genome Biology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18</w:t>
      </w:r>
      <w:r w:rsidDel="00000000" w:rsidR="00000000" w:rsidRPr="00000000">
        <w:rPr>
          <w:rFonts w:ascii="Times New Roman" w:cs="Times New Roman" w:eastAsia="Times New Roman" w:hAnsi="Times New Roman"/>
          <w:sz w:val="24"/>
          <w:szCs w:val="24"/>
          <w:rtl w:val="0"/>
        </w:rPr>
        <w:t xml:space="preserve">(1). </w:t>
      </w:r>
      <w:hyperlink r:id="rId43">
        <w:r w:rsidDel="00000000" w:rsidR="00000000" w:rsidRPr="00000000">
          <w:rPr>
            <w:rFonts w:ascii="Times New Roman" w:cs="Times New Roman" w:eastAsia="Times New Roman" w:hAnsi="Times New Roman"/>
            <w:color w:val="1155cc"/>
            <w:sz w:val="24"/>
            <w:szCs w:val="24"/>
            <w:u w:val="single"/>
            <w:rtl w:val="0"/>
          </w:rPr>
          <w:t xml:space="preserve">https://doi.org/10.1186/s13059-017-1271-6</w:t>
        </w:r>
      </w:hyperlink>
      <w:r w:rsidDel="00000000" w:rsidR="00000000" w:rsidRPr="00000000">
        <w:rPr>
          <w:rtl w:val="0"/>
        </w:rPr>
      </w:r>
    </w:p>
    <w:p w:rsidR="00000000" w:rsidDel="00000000" w:rsidP="00000000" w:rsidRDefault="00000000" w:rsidRPr="00000000" w14:paraId="0000049A">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Wendling, D., Guillot, X., Prati, C., Miceli-Richard, C., Molto, A., Lories, R., &amp; Dougados, M. (2019). Effect of Gut Involvement in Patients with High Probability of Early Spondyloarthritis: Data from the DESIR Cohort. </w:t>
      </w:r>
      <w:r w:rsidDel="00000000" w:rsidR="00000000" w:rsidRPr="00000000">
        <w:rPr>
          <w:rFonts w:ascii="Times New Roman" w:cs="Times New Roman" w:eastAsia="Times New Roman" w:hAnsi="Times New Roman"/>
          <w:i w:val="1"/>
          <w:sz w:val="24"/>
          <w:szCs w:val="24"/>
          <w:rtl w:val="0"/>
        </w:rPr>
        <w:t xml:space="preserve">The Journal of Rheumatology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47</w:t>
      </w:r>
      <w:r w:rsidDel="00000000" w:rsidR="00000000" w:rsidRPr="00000000">
        <w:rPr>
          <w:rFonts w:ascii="Times New Roman" w:cs="Times New Roman" w:eastAsia="Times New Roman" w:hAnsi="Times New Roman"/>
          <w:sz w:val="24"/>
          <w:szCs w:val="24"/>
          <w:rtl w:val="0"/>
        </w:rPr>
        <w:t xml:space="preserve">(3), 349–353. </w:t>
      </w:r>
      <w:hyperlink r:id="rId44">
        <w:r w:rsidDel="00000000" w:rsidR="00000000" w:rsidRPr="00000000">
          <w:rPr>
            <w:rFonts w:ascii="Times New Roman" w:cs="Times New Roman" w:eastAsia="Times New Roman" w:hAnsi="Times New Roman"/>
            <w:color w:val="1155cc"/>
            <w:sz w:val="24"/>
            <w:szCs w:val="24"/>
            <w:u w:val="single"/>
            <w:rtl w:val="0"/>
          </w:rPr>
          <w:t xml:space="preserve">https://doi.org/10.3899/jrheum.181326</w:t>
        </w:r>
      </w:hyperlink>
      <w:r w:rsidDel="00000000" w:rsidR="00000000" w:rsidRPr="00000000">
        <w:rPr>
          <w:rtl w:val="0"/>
        </w:rPr>
      </w:r>
    </w:p>
    <w:p w:rsidR="00000000" w:rsidDel="00000000" w:rsidP="00000000" w:rsidRDefault="00000000" w:rsidRPr="00000000" w14:paraId="0000049B">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Yin, J., Sternes, P. R., Wang, M., Song, J., Morrison, M., Li, T., Zhou, L., Wu, X., He, F., Zhu, J., Brown, M. A., &amp; Xu, H. (2019). Shotgun metagenomics reveals an enrichment of potentially cross-reactive bacterial epitopes in ankylosing spondylitis patients, as well as the effects of TNFi therapy upon microbiome composition. </w:t>
      </w:r>
      <w:r w:rsidDel="00000000" w:rsidR="00000000" w:rsidRPr="00000000">
        <w:rPr>
          <w:rFonts w:ascii="Times New Roman" w:cs="Times New Roman" w:eastAsia="Times New Roman" w:hAnsi="Times New Roman"/>
          <w:i w:val="1"/>
          <w:sz w:val="24"/>
          <w:szCs w:val="24"/>
          <w:rtl w:val="0"/>
        </w:rPr>
        <w:t xml:space="preserve">Annals of the Rheumatic Diseases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79</w:t>
      </w:r>
      <w:r w:rsidDel="00000000" w:rsidR="00000000" w:rsidRPr="00000000">
        <w:rPr>
          <w:rFonts w:ascii="Times New Roman" w:cs="Times New Roman" w:eastAsia="Times New Roman" w:hAnsi="Times New Roman"/>
          <w:sz w:val="24"/>
          <w:szCs w:val="24"/>
          <w:rtl w:val="0"/>
        </w:rPr>
        <w:t xml:space="preserve">(1), 132–140. </w:t>
      </w:r>
      <w:hyperlink r:id="rId45">
        <w:r w:rsidDel="00000000" w:rsidR="00000000" w:rsidRPr="00000000">
          <w:rPr>
            <w:rFonts w:ascii="Times New Roman" w:cs="Times New Roman" w:eastAsia="Times New Roman" w:hAnsi="Times New Roman"/>
            <w:color w:val="1155cc"/>
            <w:sz w:val="24"/>
            <w:szCs w:val="24"/>
            <w:u w:val="single"/>
            <w:rtl w:val="0"/>
          </w:rPr>
          <w:t xml:space="preserve">https://doi.org/10.1136/annrheumdis-2019-215763</w:t>
        </w:r>
      </w:hyperlink>
      <w:r w:rsidDel="00000000" w:rsidR="00000000" w:rsidRPr="00000000">
        <w:rPr>
          <w:rtl w:val="0"/>
        </w:rPr>
      </w:r>
    </w:p>
    <w:p w:rsidR="00000000" w:rsidDel="00000000" w:rsidP="00000000" w:rsidRDefault="00000000" w:rsidRPr="00000000" w14:paraId="0000049C">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Y., Cai, M., Zhang, W., &amp; Lin, J. S. (2022). Altered bacterial profiles at genus level in the gut of ankylosing spondylitis patients with different ASDAS scores. </w:t>
      </w:r>
      <w:r w:rsidDel="00000000" w:rsidR="00000000" w:rsidRPr="00000000">
        <w:rPr>
          <w:rFonts w:ascii="Times New Roman" w:cs="Times New Roman" w:eastAsia="Times New Roman" w:hAnsi="Times New Roman"/>
          <w:i w:val="1"/>
          <w:sz w:val="24"/>
          <w:szCs w:val="24"/>
          <w:rtl w:val="0"/>
        </w:rPr>
        <w:t xml:space="preserve">International Journal of Rheumatic Diseases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25</w:t>
      </w:r>
      <w:r w:rsidDel="00000000" w:rsidR="00000000" w:rsidRPr="00000000">
        <w:rPr>
          <w:rFonts w:ascii="Times New Roman" w:cs="Times New Roman" w:eastAsia="Times New Roman" w:hAnsi="Times New Roman"/>
          <w:sz w:val="24"/>
          <w:szCs w:val="24"/>
          <w:rtl w:val="0"/>
        </w:rPr>
        <w:t xml:space="preserve">(2), 239–241. </w:t>
      </w:r>
      <w:hyperlink r:id="rId46">
        <w:r w:rsidDel="00000000" w:rsidR="00000000" w:rsidRPr="00000000">
          <w:rPr>
            <w:rFonts w:ascii="Times New Roman" w:cs="Times New Roman" w:eastAsia="Times New Roman" w:hAnsi="Times New Roman"/>
            <w:color w:val="1155cc"/>
            <w:sz w:val="24"/>
            <w:szCs w:val="24"/>
            <w:u w:val="single"/>
            <w:rtl w:val="0"/>
          </w:rPr>
          <w:t xml:space="preserve">https://doi.org/10.1111/1756-185x.14280</w:t>
        </w:r>
      </w:hyperlink>
      <w:r w:rsidDel="00000000" w:rsidR="00000000" w:rsidRPr="00000000">
        <w:rPr>
          <w:rtl w:val="0"/>
        </w:rPr>
      </w:r>
    </w:p>
    <w:p w:rsidR="00000000" w:rsidDel="00000000" w:rsidP="00000000" w:rsidRDefault="00000000" w:rsidRPr="00000000" w14:paraId="0000049D">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Y., Zhang, W., Cai, M., Guo, Q., Wang, J., Cai, Y., &amp; Lin, J. (2022). Discovery of fecal microbial signatures in patients with ankylosing spondylitis. </w:t>
      </w:r>
      <w:r w:rsidDel="00000000" w:rsidR="00000000" w:rsidRPr="00000000">
        <w:rPr>
          <w:rFonts w:ascii="Times New Roman" w:cs="Times New Roman" w:eastAsia="Times New Roman" w:hAnsi="Times New Roman"/>
          <w:i w:val="1"/>
          <w:sz w:val="24"/>
          <w:szCs w:val="24"/>
          <w:rtl w:val="0"/>
        </w:rPr>
        <w:t xml:space="preserve">Archives of Rheumatology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38</w:t>
      </w:r>
      <w:r w:rsidDel="00000000" w:rsidR="00000000" w:rsidRPr="00000000">
        <w:rPr>
          <w:rFonts w:ascii="Times New Roman" w:cs="Times New Roman" w:eastAsia="Times New Roman" w:hAnsi="Times New Roman"/>
          <w:sz w:val="24"/>
          <w:szCs w:val="24"/>
          <w:rtl w:val="0"/>
        </w:rPr>
        <w:t xml:space="preserve">(2), 217–229. </w:t>
      </w:r>
      <w:hyperlink r:id="rId47">
        <w:r w:rsidDel="00000000" w:rsidR="00000000" w:rsidRPr="00000000">
          <w:rPr>
            <w:rFonts w:ascii="Times New Roman" w:cs="Times New Roman" w:eastAsia="Times New Roman" w:hAnsi="Times New Roman"/>
            <w:color w:val="1155cc"/>
            <w:sz w:val="24"/>
            <w:szCs w:val="24"/>
            <w:u w:val="single"/>
            <w:rtl w:val="0"/>
          </w:rPr>
          <w:t xml:space="preserve">https://doi.org/10.46497/archrheumatol.2023.9124</w:t>
        </w:r>
      </w:hyperlink>
      <w:r w:rsidDel="00000000" w:rsidR="00000000" w:rsidRPr="00000000">
        <w:rPr>
          <w:rtl w:val="0"/>
        </w:rPr>
      </w:r>
    </w:p>
    <w:p w:rsidR="00000000" w:rsidDel="00000000" w:rsidP="00000000" w:rsidRDefault="00000000" w:rsidRPr="00000000" w14:paraId="0000049E">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Yuan, Y., Feng, S., Wu, A., Wu, W., Tian, P., Chen, A., Ma, X., Huang, L., &amp; Yu, L. (2024). Influence of TNF-α Inhibitors on Gut Microbiota and Immune Modulation in Treating Ankylosing Spondylitis: Insights into Therapeutic Mechanisms and Clinical Implications. </w:t>
      </w:r>
      <w:r w:rsidDel="00000000" w:rsidR="00000000" w:rsidRPr="00000000">
        <w:rPr>
          <w:rFonts w:ascii="Times New Roman" w:cs="Times New Roman" w:eastAsia="Times New Roman" w:hAnsi="Times New Roman"/>
          <w:i w:val="1"/>
          <w:sz w:val="24"/>
          <w:szCs w:val="24"/>
          <w:rtl w:val="0"/>
        </w:rPr>
        <w:t xml:space="preserve">Journal of Inflammation Research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Volume 17</w:t>
      </w:r>
      <w:r w:rsidDel="00000000" w:rsidR="00000000" w:rsidRPr="00000000">
        <w:rPr>
          <w:rFonts w:ascii="Times New Roman" w:cs="Times New Roman" w:eastAsia="Times New Roman" w:hAnsi="Times New Roman"/>
          <w:sz w:val="24"/>
          <w:szCs w:val="24"/>
          <w:rtl w:val="0"/>
        </w:rPr>
        <w:t xml:space="preserve">, 11741–11752. </w:t>
      </w:r>
      <w:hyperlink r:id="rId48">
        <w:r w:rsidDel="00000000" w:rsidR="00000000" w:rsidRPr="00000000">
          <w:rPr>
            <w:rFonts w:ascii="Times New Roman" w:cs="Times New Roman" w:eastAsia="Times New Roman" w:hAnsi="Times New Roman"/>
            <w:color w:val="1155cc"/>
            <w:sz w:val="24"/>
            <w:szCs w:val="24"/>
            <w:u w:val="single"/>
            <w:rtl w:val="0"/>
          </w:rPr>
          <w:t xml:space="preserve">https://doi.org/10.2147/jir.s496991</w:t>
        </w:r>
      </w:hyperlink>
      <w:r w:rsidDel="00000000" w:rsidR="00000000" w:rsidRPr="00000000">
        <w:rPr>
          <w:rtl w:val="0"/>
        </w:rPr>
      </w:r>
    </w:p>
    <w:p w:rsidR="00000000" w:rsidDel="00000000" w:rsidP="00000000" w:rsidRDefault="00000000" w:rsidRPr="00000000" w14:paraId="0000049F">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Yu, X., Jin, M., Huang, H., Qiu, F., Geng, L., Guo, R., Zhu, X., &amp; Hu, X. (2024). Effect of long snake moxibustion on gut microbiota of patients with ankylosing spondylitis. </w:t>
      </w:r>
      <w:r w:rsidDel="00000000" w:rsidR="00000000" w:rsidRPr="00000000">
        <w:rPr>
          <w:rFonts w:ascii="Times New Roman" w:cs="Times New Roman" w:eastAsia="Times New Roman" w:hAnsi="Times New Roman"/>
          <w:i w:val="1"/>
          <w:sz w:val="24"/>
          <w:szCs w:val="24"/>
          <w:rtl w:val="0"/>
        </w:rPr>
        <w:t xml:space="preserve">Complementary Medicine Research</w:t>
      </w:r>
      <w:r w:rsidDel="00000000" w:rsidR="00000000" w:rsidRPr="00000000">
        <w:rPr>
          <w:rFonts w:ascii="Times New Roman" w:cs="Times New Roman" w:eastAsia="Times New Roman" w:hAnsi="Times New Roman"/>
          <w:sz w:val="24"/>
          <w:szCs w:val="24"/>
          <w:rtl w:val="0"/>
        </w:rPr>
        <w:t xml:space="preserve">. </w:t>
      </w:r>
      <w:hyperlink r:id="rId49">
        <w:r w:rsidDel="00000000" w:rsidR="00000000" w:rsidRPr="00000000">
          <w:rPr>
            <w:rFonts w:ascii="Times New Roman" w:cs="Times New Roman" w:eastAsia="Times New Roman" w:hAnsi="Times New Roman"/>
            <w:color w:val="1155cc"/>
            <w:sz w:val="24"/>
            <w:szCs w:val="24"/>
            <w:u w:val="single"/>
            <w:rtl w:val="0"/>
          </w:rPr>
          <w:t xml:space="preserve">https://doi.org/10.1159/000540271</w:t>
        </w:r>
      </w:hyperlink>
      <w:r w:rsidDel="00000000" w:rsidR="00000000" w:rsidRPr="00000000">
        <w:rPr>
          <w:rtl w:val="0"/>
        </w:rPr>
      </w:r>
    </w:p>
    <w:p w:rsidR="00000000" w:rsidDel="00000000" w:rsidP="00000000" w:rsidRDefault="00000000" w:rsidRPr="00000000" w14:paraId="000004A0">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Zhang, F., Ma, C., &amp; Zhang, B. (2020). Dynamic Variations in Gut Microbiota in Ankylosing Spondylitis Patients Treated with Anti-TNF-α for Six Months. </w:t>
      </w:r>
      <w:r w:rsidDel="00000000" w:rsidR="00000000" w:rsidRPr="00000000">
        <w:rPr>
          <w:rFonts w:ascii="Times New Roman" w:cs="Times New Roman" w:eastAsia="Times New Roman" w:hAnsi="Times New Roman"/>
          <w:i w:val="1"/>
          <w:sz w:val="24"/>
          <w:szCs w:val="24"/>
          <w:rtl w:val="0"/>
        </w:rPr>
        <w:t xml:space="preserve">PubMed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50</w:t>
      </w:r>
      <w:r w:rsidDel="00000000" w:rsidR="00000000" w:rsidRPr="00000000">
        <w:rPr>
          <w:rFonts w:ascii="Times New Roman" w:cs="Times New Roman" w:eastAsia="Times New Roman" w:hAnsi="Times New Roman"/>
          <w:sz w:val="24"/>
          <w:szCs w:val="24"/>
          <w:rtl w:val="0"/>
        </w:rPr>
        <w:t xml:space="preserve">(1), 99–106. </w:t>
      </w:r>
      <w:hyperlink r:id="rId50">
        <w:r w:rsidDel="00000000" w:rsidR="00000000" w:rsidRPr="00000000">
          <w:rPr>
            <w:rFonts w:ascii="Times New Roman" w:cs="Times New Roman" w:eastAsia="Times New Roman" w:hAnsi="Times New Roman"/>
            <w:color w:val="1155cc"/>
            <w:sz w:val="24"/>
            <w:szCs w:val="24"/>
            <w:u w:val="single"/>
            <w:rtl w:val="0"/>
          </w:rPr>
          <w:t xml:space="preserve">https://pubmed.ncbi.nlm.nih.gov/32161018</w:t>
        </w:r>
      </w:hyperlink>
      <w:r w:rsidDel="00000000" w:rsidR="00000000" w:rsidRPr="00000000">
        <w:rPr>
          <w:rtl w:val="0"/>
        </w:rPr>
      </w:r>
    </w:p>
    <w:p w:rsidR="00000000" w:rsidDel="00000000" w:rsidP="00000000" w:rsidRDefault="00000000" w:rsidRPr="00000000" w14:paraId="000004A1">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Zhang, L., Han, R., Zhang, X., Fang, G., Chen, J., Li, J., Xu, S., Qian, L., Chen, W., &amp; Pan, F. (2019). Fecal microbiota in patients with ankylosing spondylitis: Correlation with dietary factors and disease activity. </w:t>
      </w:r>
      <w:r w:rsidDel="00000000" w:rsidR="00000000" w:rsidRPr="00000000">
        <w:rPr>
          <w:rFonts w:ascii="Times New Roman" w:cs="Times New Roman" w:eastAsia="Times New Roman" w:hAnsi="Times New Roman"/>
          <w:i w:val="1"/>
          <w:sz w:val="24"/>
          <w:szCs w:val="24"/>
          <w:rtl w:val="0"/>
        </w:rPr>
        <w:t xml:space="preserve">Clinica Chimica Acta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497</w:t>
      </w:r>
      <w:r w:rsidDel="00000000" w:rsidR="00000000" w:rsidRPr="00000000">
        <w:rPr>
          <w:rFonts w:ascii="Times New Roman" w:cs="Times New Roman" w:eastAsia="Times New Roman" w:hAnsi="Times New Roman"/>
          <w:sz w:val="24"/>
          <w:szCs w:val="24"/>
          <w:rtl w:val="0"/>
        </w:rPr>
        <w:t xml:space="preserve">, 189–196. </w:t>
      </w:r>
      <w:hyperlink r:id="rId51">
        <w:r w:rsidDel="00000000" w:rsidR="00000000" w:rsidRPr="00000000">
          <w:rPr>
            <w:rFonts w:ascii="Times New Roman" w:cs="Times New Roman" w:eastAsia="Times New Roman" w:hAnsi="Times New Roman"/>
            <w:color w:val="1155cc"/>
            <w:sz w:val="24"/>
            <w:szCs w:val="24"/>
            <w:u w:val="single"/>
            <w:rtl w:val="0"/>
          </w:rPr>
          <w:t xml:space="preserve">https://doi.org/10.1016/j.cca.2019.07.038</w:t>
        </w:r>
      </w:hyperlink>
      <w:r w:rsidDel="00000000" w:rsidR="00000000" w:rsidRPr="00000000">
        <w:rPr>
          <w:rtl w:val="0"/>
        </w:rPr>
      </w:r>
    </w:p>
    <w:p w:rsidR="00000000" w:rsidDel="00000000" w:rsidP="00000000" w:rsidRDefault="00000000" w:rsidRPr="00000000" w14:paraId="000004A2">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Zhou, C., Zhao, H., Xiao, X., Chen, B., Guo, R., Wang, Q., Chen, H., Zhao, L., Zhang, C., Jiao, Y., Ju, Y., Yang, H., Fei, Y., Wang, L., Shen, M., Li, H., Wang, X., Lu, X., Yang, B., . . . Zhang, X. (2019). Metagenomic profiling of the pro-inflammatory gut microbiota in ankylosing spondylitis. </w:t>
      </w:r>
      <w:r w:rsidDel="00000000" w:rsidR="00000000" w:rsidRPr="00000000">
        <w:rPr>
          <w:rFonts w:ascii="Times New Roman" w:cs="Times New Roman" w:eastAsia="Times New Roman" w:hAnsi="Times New Roman"/>
          <w:i w:val="1"/>
          <w:sz w:val="24"/>
          <w:szCs w:val="24"/>
          <w:rtl w:val="0"/>
        </w:rPr>
        <w:t xml:space="preserve">Journal of Autoimmunity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107</w:t>
      </w:r>
      <w:r w:rsidDel="00000000" w:rsidR="00000000" w:rsidRPr="00000000">
        <w:rPr>
          <w:rFonts w:ascii="Times New Roman" w:cs="Times New Roman" w:eastAsia="Times New Roman" w:hAnsi="Times New Roman"/>
          <w:sz w:val="24"/>
          <w:szCs w:val="24"/>
          <w:rtl w:val="0"/>
        </w:rPr>
        <w:t xml:space="preserve">, 102360. </w:t>
      </w:r>
      <w:hyperlink r:id="rId52">
        <w:r w:rsidDel="00000000" w:rsidR="00000000" w:rsidRPr="00000000">
          <w:rPr>
            <w:rFonts w:ascii="Times New Roman" w:cs="Times New Roman" w:eastAsia="Times New Roman" w:hAnsi="Times New Roman"/>
            <w:color w:val="1155cc"/>
            <w:sz w:val="24"/>
            <w:szCs w:val="24"/>
            <w:u w:val="single"/>
            <w:rtl w:val="0"/>
          </w:rPr>
          <w:t xml:space="preserve">https://doi.org/10.1016/j.jaut.2019.102360</w:t>
        </w:r>
      </w:hyperlink>
      <w:r w:rsidDel="00000000" w:rsidR="00000000" w:rsidRPr="00000000">
        <w:rPr>
          <w:rtl w:val="0"/>
        </w:rPr>
      </w:r>
    </w:p>
    <w:p w:rsidR="00000000" w:rsidDel="00000000" w:rsidP="00000000" w:rsidRDefault="00000000" w:rsidRPr="00000000" w14:paraId="000004A3">
      <w:pPr>
        <w:spacing w:after="0" w:line="259.20000000000005"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Zhou, H., Balint, D., Shi, Q., Vartanian, T., Kriegel, M. A., &amp; Brito, I. (2024). Lupus and inflammatory bowel disease share a common set of microbiome features distinct from other autoimmune disorders. </w:t>
      </w:r>
      <w:r w:rsidDel="00000000" w:rsidR="00000000" w:rsidRPr="00000000">
        <w:rPr>
          <w:rFonts w:ascii="Times New Roman" w:cs="Times New Roman" w:eastAsia="Times New Roman" w:hAnsi="Times New Roman"/>
          <w:i w:val="1"/>
          <w:sz w:val="24"/>
          <w:szCs w:val="24"/>
          <w:rtl w:val="0"/>
        </w:rPr>
        <w:t xml:space="preserve">Annals of the Rheumatic Diseases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84</w:t>
      </w:r>
      <w:r w:rsidDel="00000000" w:rsidR="00000000" w:rsidRPr="00000000">
        <w:rPr>
          <w:rFonts w:ascii="Times New Roman" w:cs="Times New Roman" w:eastAsia="Times New Roman" w:hAnsi="Times New Roman"/>
          <w:sz w:val="24"/>
          <w:szCs w:val="24"/>
          <w:rtl w:val="0"/>
        </w:rPr>
        <w:t xml:space="preserve">(1), 93–105. </w:t>
      </w:r>
      <w:hyperlink r:id="rId53">
        <w:r w:rsidDel="00000000" w:rsidR="00000000" w:rsidRPr="00000000">
          <w:rPr>
            <w:rFonts w:ascii="Times New Roman" w:cs="Times New Roman" w:eastAsia="Times New Roman" w:hAnsi="Times New Roman"/>
            <w:color w:val="1155cc"/>
            <w:sz w:val="24"/>
            <w:szCs w:val="24"/>
            <w:u w:val="single"/>
            <w:rtl w:val="0"/>
          </w:rPr>
          <w:t xml:space="preserve">https://doi.org/10.1136/ard-2024-225829</w:t>
        </w:r>
      </w:hyperlink>
      <w:r w:rsidDel="00000000" w:rsidR="00000000" w:rsidRPr="00000000">
        <w:rPr>
          <w:rtl w:val="0"/>
        </w:rPr>
      </w:r>
    </w:p>
    <w:p w:rsidR="00000000" w:rsidDel="00000000" w:rsidP="00000000" w:rsidRDefault="00000000" w:rsidRPr="00000000" w14:paraId="000004A4">
      <w:pPr>
        <w:spacing w:after="0" w:line="276" w:lineRule="auto"/>
        <w:ind w:left="720" w:hanging="720"/>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4A5">
      <w:pPr>
        <w:spacing w:after="0" w:line="276" w:lineRule="auto"/>
        <w:ind w:left="720" w:hanging="720"/>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4A6">
      <w:pPr>
        <w:spacing w:after="0" w:line="276" w:lineRule="auto"/>
        <w:ind w:left="720" w:hanging="720"/>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4A7">
      <w:pPr>
        <w:spacing w:after="0" w:line="276" w:lineRule="auto"/>
        <w:ind w:left="720" w:hanging="720"/>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4A8">
      <w:pPr>
        <w:spacing w:after="0" w:line="276" w:lineRule="auto"/>
        <w:ind w:left="720" w:hanging="720"/>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4A9">
      <w:pPr>
        <w:spacing w:after="0" w:line="276" w:lineRule="auto"/>
        <w:rPr>
          <w:rFonts w:ascii="Times New Roman" w:cs="Times New Roman" w:eastAsia="Times New Roman" w:hAnsi="Times New Roman"/>
          <w:sz w:val="24"/>
          <w:szCs w:val="24"/>
        </w:rPr>
      </w:pPr>
      <w:r w:rsidDel="00000000" w:rsidR="00000000" w:rsidRPr="00000000">
        <w:rPr>
          <w:rtl w:val="0"/>
        </w:rPr>
      </w:r>
    </w:p>
    <w:sectPr>
      <w:type w:val="nextPage"/>
      <w:pgSz w:h="15840" w:w="12240" w:orient="portrait"/>
      <w:pgMar w:bottom="1134" w:top="1134" w:left="1701" w:right="85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latino Linotyp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i.org/10.1056/nejmra1406182" TargetMode="External"/><Relationship Id="rId42" Type="http://schemas.openxmlformats.org/officeDocument/2006/relationships/hyperlink" Target="https://doi.org/10.1136/rmdopen-2022-002794" TargetMode="External"/><Relationship Id="rId41" Type="http://schemas.openxmlformats.org/officeDocument/2006/relationships/hyperlink" Target="https://doi.org/10.1002/art.39802" TargetMode="External"/><Relationship Id="rId44" Type="http://schemas.openxmlformats.org/officeDocument/2006/relationships/hyperlink" Target="https://doi.org/10.3899/jrheum.181326" TargetMode="External"/><Relationship Id="rId43" Type="http://schemas.openxmlformats.org/officeDocument/2006/relationships/hyperlink" Target="https://doi.org/10.1186/s13059-017-1271-6" TargetMode="External"/><Relationship Id="rId46" Type="http://schemas.openxmlformats.org/officeDocument/2006/relationships/hyperlink" Target="https://doi.org/10.1111/1756-185x.14280" TargetMode="External"/><Relationship Id="rId45" Type="http://schemas.openxmlformats.org/officeDocument/2006/relationships/hyperlink" Target="https://doi.org/10.1136/annrheumdis-2019-21576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02/art.40917" TargetMode="External"/><Relationship Id="rId48" Type="http://schemas.openxmlformats.org/officeDocument/2006/relationships/hyperlink" Target="https://doi.org/10.2147/jir.s496991" TargetMode="External"/><Relationship Id="rId47" Type="http://schemas.openxmlformats.org/officeDocument/2006/relationships/hyperlink" Target="https://doi.org/10.46497/archrheumatol.2023.9124" TargetMode="External"/><Relationship Id="rId49" Type="http://schemas.openxmlformats.org/officeDocument/2006/relationships/hyperlink" Target="https://doi.org/10.1159/00054027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nurbibi.kaparova@nu.edu.kz" TargetMode="External"/><Relationship Id="rId8" Type="http://schemas.openxmlformats.org/officeDocument/2006/relationships/image" Target="media/image1.png"/><Relationship Id="rId31" Type="http://schemas.openxmlformats.org/officeDocument/2006/relationships/hyperlink" Target="https://doi.org/10.1186/s41927-020-00155-2" TargetMode="External"/><Relationship Id="rId30" Type="http://schemas.openxmlformats.org/officeDocument/2006/relationships/hyperlink" Target="https://doi.org/10.1002/art.41169" TargetMode="External"/><Relationship Id="rId33" Type="http://schemas.openxmlformats.org/officeDocument/2006/relationships/hyperlink" Target="https://doi.org/10.1136/ard.2010.133645" TargetMode="External"/><Relationship Id="rId32" Type="http://schemas.openxmlformats.org/officeDocument/2006/relationships/hyperlink" Target="https://doi.org/10.3389/fimmu.2023.1096565" TargetMode="External"/><Relationship Id="rId35" Type="http://schemas.openxmlformats.org/officeDocument/2006/relationships/hyperlink" Target="https://doi.org/10.3390/jcm10153354" TargetMode="External"/><Relationship Id="rId34" Type="http://schemas.openxmlformats.org/officeDocument/2006/relationships/hyperlink" Target="https://doi.org/10.1186/s13075-022-02733-w" TargetMode="External"/><Relationship Id="rId37" Type="http://schemas.openxmlformats.org/officeDocument/2006/relationships/hyperlink" Target="https://doi.org/10.1186/s13075-022-02853-3" TargetMode="External"/><Relationship Id="rId36" Type="http://schemas.openxmlformats.org/officeDocument/2006/relationships/hyperlink" Target="https://doi.org/10.1152/physrev.00045.2009" TargetMode="External"/><Relationship Id="rId39" Type="http://schemas.openxmlformats.org/officeDocument/2006/relationships/hyperlink" Target="https://doi.org/10.1111/1756-185x.15218" TargetMode="External"/><Relationship Id="rId38" Type="http://schemas.openxmlformats.org/officeDocument/2006/relationships/hyperlink" Target="https://doi.org/10.3390/children9040569" TargetMode="External"/><Relationship Id="rId20" Type="http://schemas.openxmlformats.org/officeDocument/2006/relationships/hyperlink" Target="https://doi.org/10.1002/art.42658" TargetMode="External"/><Relationship Id="rId22" Type="http://schemas.openxmlformats.org/officeDocument/2006/relationships/hyperlink" Target="https://doi.org/10.1002/art.41644" TargetMode="External"/><Relationship Id="rId21" Type="http://schemas.openxmlformats.org/officeDocument/2006/relationships/hyperlink" Target="https://doi.org/10.3389/fimmu.2022.965634" TargetMode="External"/><Relationship Id="rId24" Type="http://schemas.openxmlformats.org/officeDocument/2006/relationships/hyperlink" Target="https://doi.org/10.1007/s10067-021-05679-7" TargetMode="External"/><Relationship Id="rId23" Type="http://schemas.openxmlformats.org/officeDocument/2006/relationships/hyperlink" Target="https://doi.org/10.1099/jmm.0.001107" TargetMode="External"/><Relationship Id="rId26" Type="http://schemas.openxmlformats.org/officeDocument/2006/relationships/hyperlink" Target="https://doi.org/10.3389/fimmu.2024.1369116" TargetMode="External"/><Relationship Id="rId25" Type="http://schemas.openxmlformats.org/officeDocument/2006/relationships/hyperlink" Target="https://doi.org/10.1186/s13075-019-2018-4" TargetMode="External"/><Relationship Id="rId28" Type="http://schemas.openxmlformats.org/officeDocument/2006/relationships/hyperlink" Target="https://doi.org/10.1155/2022/1005111" TargetMode="External"/><Relationship Id="rId27" Type="http://schemas.openxmlformats.org/officeDocument/2006/relationships/hyperlink" Target="https://doi.org/10.1128/msystems.00176-18" TargetMode="External"/><Relationship Id="rId29" Type="http://schemas.openxmlformats.org/officeDocument/2006/relationships/hyperlink" Target="https://doi.org/10.1155/2020/8884324" TargetMode="External"/><Relationship Id="rId51" Type="http://schemas.openxmlformats.org/officeDocument/2006/relationships/hyperlink" Target="https://doi.org/10.1016/j.cca.2019.07.038" TargetMode="External"/><Relationship Id="rId50" Type="http://schemas.openxmlformats.org/officeDocument/2006/relationships/hyperlink" Target="https://pubmed.ncbi.nlm.nih.gov/32161018" TargetMode="External"/><Relationship Id="rId53" Type="http://schemas.openxmlformats.org/officeDocument/2006/relationships/hyperlink" Target="https://doi.org/10.1136/ard-2024-225829" TargetMode="External"/><Relationship Id="rId52" Type="http://schemas.openxmlformats.org/officeDocument/2006/relationships/hyperlink" Target="https://doi.org/10.1016/j.jaut.2019.102360" TargetMode="External"/><Relationship Id="rId11" Type="http://schemas.openxmlformats.org/officeDocument/2006/relationships/hyperlink" Target="https://doi.org/10.3389/fimmu.2021.587119" TargetMode="External"/><Relationship Id="rId10" Type="http://schemas.openxmlformats.org/officeDocument/2006/relationships/hyperlink" Target="https://doi.org/10.1002/art.42289" TargetMode="External"/><Relationship Id="rId13" Type="http://schemas.openxmlformats.org/officeDocument/2006/relationships/hyperlink" Target="https://pubmed.ncbi.nlm.nih.gov/29148402" TargetMode="External"/><Relationship Id="rId12" Type="http://schemas.openxmlformats.org/officeDocument/2006/relationships/hyperlink" Target="https://doi.org/10.1136/annrheumdis-2016-211064" TargetMode="External"/><Relationship Id="rId15" Type="http://schemas.openxmlformats.org/officeDocument/2006/relationships/hyperlink" Target="https://doi.org/10.21037/atm.2019.09.41" TargetMode="External"/><Relationship Id="rId14" Type="http://schemas.openxmlformats.org/officeDocument/2006/relationships/hyperlink" Target="https://doi.org/10.3892/etm.2021.10108" TargetMode="External"/><Relationship Id="rId17" Type="http://schemas.openxmlformats.org/officeDocument/2006/relationships/hyperlink" Target="https://doi.org/10.1002/art.38967" TargetMode="External"/><Relationship Id="rId16" Type="http://schemas.openxmlformats.org/officeDocument/2006/relationships/hyperlink" Target="https://doi.org/10.1007/s00296-024-05614-4" TargetMode="External"/><Relationship Id="rId19" Type="http://schemas.openxmlformats.org/officeDocument/2006/relationships/hyperlink" Target="https://doi.org/10.1093/rheumatology/ket387" TargetMode="External"/><Relationship Id="rId18" Type="http://schemas.openxmlformats.org/officeDocument/2006/relationships/hyperlink" Target="https://doi.org/10.1097/fpc.000000000000046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alatinoLinotype-regular.ttf"/><Relationship Id="rId6" Type="http://schemas.openxmlformats.org/officeDocument/2006/relationships/font" Target="fonts/PalatinoLinotype-bold.ttf"/><Relationship Id="rId7" Type="http://schemas.openxmlformats.org/officeDocument/2006/relationships/font" Target="fonts/PalatinoLinotype-italic.ttf"/><Relationship Id="rId8" Type="http://schemas.openxmlformats.org/officeDocument/2006/relationships/font" Target="fonts/PalatinoLinotyp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8crxyN53PPHkw7RTX8pG2ek+jg==">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2024-12-04T04:06:00Z</dcterms:created>
  <dc:creator>Arman Saparov</dc:creator>
</cp:coreProperties>
</file>